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21A" w:rsidRDefault="00E7321A">
      <w:pPr>
        <w:jc w:val="both"/>
        <w:rPr>
          <w:rFonts w:ascii="Arial" w:hAnsi="Arial" w:cs="Arial"/>
          <w:b/>
          <w:sz w:val="22"/>
        </w:rPr>
      </w:pPr>
    </w:p>
    <w:p w:rsidR="00410096" w:rsidRPr="0027602F" w:rsidRDefault="0013209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Općina Sreačinec sa sjedištem u Sračincu, Varaždinska 188, OIB: 01126367431,</w:t>
      </w:r>
      <w:r w:rsidR="00517254" w:rsidRPr="0027602F">
        <w:rPr>
          <w:rFonts w:ascii="Arial" w:hAnsi="Arial" w:cs="Arial"/>
          <w:sz w:val="22"/>
        </w:rPr>
        <w:t xml:space="preserve"> koju zastupa </w:t>
      </w:r>
      <w:r>
        <w:rPr>
          <w:rFonts w:ascii="Arial" w:hAnsi="Arial" w:cs="Arial"/>
          <w:sz w:val="22"/>
        </w:rPr>
        <w:t>općinsku načelnik Božidar Novoselec</w:t>
      </w:r>
      <w:r w:rsidR="00517254" w:rsidRPr="0027602F">
        <w:rPr>
          <w:rFonts w:ascii="Arial" w:hAnsi="Arial" w:cs="Arial"/>
          <w:sz w:val="22"/>
        </w:rPr>
        <w:t xml:space="preserve"> (u daljnjem tekstu: Provoditelj natječaja) </w:t>
      </w:r>
    </w:p>
    <w:p w:rsidR="00410096" w:rsidRPr="0027602F" w:rsidRDefault="00517254">
      <w:p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i </w:t>
      </w:r>
    </w:p>
    <w:p w:rsidR="00410096" w:rsidRPr="0027602F" w:rsidRDefault="00517254">
      <w:p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Ime i prezime korisnika sredstava, Ulica i broj, Poštanski broj i Mjesto</w:t>
      </w:r>
      <w:r w:rsidRPr="0027602F">
        <w:rPr>
          <w:rFonts w:ascii="Arial" w:hAnsi="Arial" w:cs="Arial"/>
          <w:sz w:val="22"/>
        </w:rPr>
        <w:t>, OIB: ,(u daljnjem tekstu: korisnik sredstava), sklapaju</w:t>
      </w:r>
      <w:r w:rsidRPr="0027602F">
        <w:rPr>
          <w:rFonts w:ascii="Arial" w:hAnsi="Arial" w:cs="Arial"/>
          <w:b/>
          <w:sz w:val="22"/>
        </w:rPr>
        <w:t>: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UGOVOR 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O MEĐUSOBNIM PRAVIMA I OBVEZAMA U SVEZI </w:t>
      </w:r>
      <w:r w:rsidR="00521B0B">
        <w:rPr>
          <w:rFonts w:ascii="Arial" w:hAnsi="Arial" w:cs="Arial"/>
          <w:b/>
          <w:sz w:val="22"/>
        </w:rPr>
        <w:t>SUFINANCIRANJA</w:t>
      </w:r>
      <w:r w:rsidRPr="0027602F">
        <w:rPr>
          <w:rFonts w:ascii="Arial" w:hAnsi="Arial" w:cs="Arial"/>
          <w:b/>
          <w:sz w:val="22"/>
        </w:rPr>
        <w:t xml:space="preserve"> TROŠKOVA PROVEDBE MJERA POVEĆANJA ENERGETSKE UČINKOVITOSTI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broj: xy</w:t>
      </w:r>
    </w:p>
    <w:p w:rsidR="00410096" w:rsidRPr="0027602F" w:rsidRDefault="00410096">
      <w:pPr>
        <w:rPr>
          <w:rFonts w:ascii="Arial" w:hAnsi="Arial" w:cs="Arial"/>
          <w:sz w:val="22"/>
        </w:rPr>
      </w:pPr>
    </w:p>
    <w:p w:rsidR="00410096" w:rsidRPr="0027602F" w:rsidRDefault="00410096">
      <w:pPr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PREDMET UGOVORA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Ovaj Ugovor sklapa se na temelju Zaključka </w:t>
      </w:r>
      <w:r w:rsidR="00521B0B" w:rsidRPr="00132093">
        <w:rPr>
          <w:rFonts w:ascii="Arial" w:hAnsi="Arial" w:cs="Arial"/>
          <w:sz w:val="22"/>
        </w:rPr>
        <w:t>Načelnika</w:t>
      </w:r>
      <w:r w:rsidRPr="0027602F">
        <w:rPr>
          <w:rFonts w:ascii="Arial" w:hAnsi="Arial" w:cs="Arial"/>
          <w:sz w:val="22"/>
        </w:rPr>
        <w:t xml:space="preserve"> o utvrđivanju bodovne liste i odabiru korisnika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za troškove nabave i ugradnje toplinske zaštite vanjske ovojnice u </w:t>
      </w:r>
      <w:r w:rsidR="00521B0B" w:rsidRPr="00521B0B">
        <w:rPr>
          <w:rFonts w:ascii="Arial" w:hAnsi="Arial" w:cs="Arial"/>
          <w:sz w:val="22"/>
          <w:highlight w:val="yellow"/>
        </w:rPr>
        <w:t>__</w:t>
      </w:r>
      <w:r w:rsidRPr="0027602F">
        <w:rPr>
          <w:rFonts w:ascii="Arial" w:hAnsi="Arial" w:cs="Arial"/>
          <w:sz w:val="22"/>
        </w:rPr>
        <w:t xml:space="preserve"> kućanstava na području Provoditelja natječaja u 2014. godini, Klasa: </w:t>
      </w:r>
      <w:r w:rsidR="00132093">
        <w:rPr>
          <w:rFonts w:ascii="Arial" w:hAnsi="Arial" w:cs="Arial"/>
          <w:sz w:val="22"/>
        </w:rPr>
        <w:t>_________</w:t>
      </w:r>
      <w:r w:rsidRPr="0027602F">
        <w:rPr>
          <w:rFonts w:ascii="Arial" w:hAnsi="Arial" w:cs="Arial"/>
          <w:sz w:val="22"/>
        </w:rPr>
        <w:t xml:space="preserve">, Ur.broj: </w:t>
      </w:r>
      <w:r w:rsidR="00132093">
        <w:rPr>
          <w:rFonts w:ascii="Arial" w:hAnsi="Arial" w:cs="Arial"/>
          <w:sz w:val="22"/>
        </w:rPr>
        <w:t>__________</w:t>
      </w:r>
      <w:r w:rsidRPr="0027602F">
        <w:rPr>
          <w:rFonts w:ascii="Arial" w:hAnsi="Arial" w:cs="Arial"/>
          <w:sz w:val="22"/>
        </w:rPr>
        <w:t xml:space="preserve">, kojeg je </w:t>
      </w:r>
      <w:r w:rsidR="00132093">
        <w:rPr>
          <w:rFonts w:ascii="Arial" w:hAnsi="Arial" w:cs="Arial"/>
          <w:sz w:val="22"/>
        </w:rPr>
        <w:t>načelnik Općine Sračine</w:t>
      </w:r>
      <w:r w:rsidR="00521B0B">
        <w:rPr>
          <w:rFonts w:ascii="Arial" w:hAnsi="Arial" w:cs="Arial"/>
          <w:sz w:val="22"/>
        </w:rPr>
        <w:t xml:space="preserve"> donio __</w:t>
      </w:r>
      <w:r w:rsidRPr="0027602F">
        <w:rPr>
          <w:rFonts w:ascii="Arial" w:hAnsi="Arial" w:cs="Arial"/>
          <w:sz w:val="22"/>
        </w:rPr>
        <w:t>.</w:t>
      </w:r>
      <w:r w:rsidR="00521B0B">
        <w:rPr>
          <w:rFonts w:ascii="Arial" w:hAnsi="Arial" w:cs="Arial"/>
          <w:sz w:val="22"/>
        </w:rPr>
        <w:t>__. 2014</w:t>
      </w:r>
      <w:r w:rsidRPr="0027602F">
        <w:rPr>
          <w:rFonts w:ascii="Arial" w:hAnsi="Arial" w:cs="Arial"/>
          <w:sz w:val="22"/>
        </w:rPr>
        <w:t>. godine.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Predmet ovog Ugovora je reguliranje međusobnih prava i obveza ugovornih strana u svezi </w:t>
      </w:r>
      <w:r w:rsidR="009E5101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prihvatljivih troškova provedbe mjera povećanja energetske učinkovitosti (</w:t>
      </w:r>
      <w:r w:rsidRPr="0027602F">
        <w:rPr>
          <w:rFonts w:ascii="Arial" w:hAnsi="Arial" w:cs="Arial"/>
          <w:b/>
          <w:sz w:val="22"/>
        </w:rPr>
        <w:t>u tekstu: Mjere EnU</w:t>
      </w:r>
      <w:r w:rsidRPr="0027602F">
        <w:rPr>
          <w:rFonts w:ascii="Arial" w:hAnsi="Arial" w:cs="Arial"/>
          <w:sz w:val="22"/>
        </w:rPr>
        <w:t>) , uvjeti i način korištenja Vrijednosnog kupona, rok provedbe Mjere EnU te druga prava i obveze koje iz toga proizlaze.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2.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PREDMET I PRIHVATLJIVI TROŠKOVI </w:t>
      </w:r>
      <w:r w:rsidR="00521B0B" w:rsidRPr="00521B0B">
        <w:rPr>
          <w:rFonts w:ascii="Arial" w:hAnsi="Arial" w:cs="Arial"/>
          <w:b/>
          <w:sz w:val="22"/>
        </w:rPr>
        <w:t>SUFINANCIRANJA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Mjere povećanja energetske učinkovitosti koje će se </w:t>
      </w:r>
      <w:r w:rsidR="009E5101">
        <w:rPr>
          <w:rFonts w:ascii="Arial" w:hAnsi="Arial" w:cs="Arial"/>
          <w:sz w:val="22"/>
        </w:rPr>
        <w:t>sufinancirati</w:t>
      </w:r>
      <w:r w:rsidRPr="0027602F">
        <w:rPr>
          <w:rFonts w:ascii="Arial" w:hAnsi="Arial" w:cs="Arial"/>
          <w:sz w:val="22"/>
        </w:rPr>
        <w:t xml:space="preserve"> su:</w:t>
      </w:r>
    </w:p>
    <w:p w:rsidR="00410096" w:rsidRPr="0027602F" w:rsidRDefault="00FC4471">
      <w:pPr>
        <w:numPr>
          <w:ilvl w:val="0"/>
          <w:numId w:val="1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zamjena postojeće ugradnjom nove vanjske stolarije,</w:t>
      </w:r>
    </w:p>
    <w:p w:rsidR="00FC4471" w:rsidRPr="0027602F" w:rsidRDefault="00FC4471" w:rsidP="00FC4471">
      <w:pPr>
        <w:numPr>
          <w:ilvl w:val="0"/>
          <w:numId w:val="1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povećanje toplinske zaštite ovojnice obiteljske kuće,</w:t>
      </w:r>
    </w:p>
    <w:p w:rsidR="00FC4471" w:rsidRPr="0027602F" w:rsidRDefault="00FC4471" w:rsidP="00FC4471">
      <w:pPr>
        <w:numPr>
          <w:ilvl w:val="0"/>
          <w:numId w:val="1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povećanje energetske učinkovitosti sustava grijanja ugradnjom plinskih kondenzacijskih kotlova,</w:t>
      </w:r>
    </w:p>
    <w:p w:rsidR="00410096" w:rsidRPr="0027602F" w:rsidRDefault="00FC4471" w:rsidP="0046782F">
      <w:pPr>
        <w:numPr>
          <w:ilvl w:val="0"/>
          <w:numId w:val="1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povećanje energetske učinkovitosti sustava prozračivanja ugradnjom uređaja za povrat topline otpadnog zraka (rekuperatora).</w:t>
      </w:r>
    </w:p>
    <w:p w:rsidR="00410096" w:rsidRPr="0027602F" w:rsidRDefault="00410096">
      <w:pPr>
        <w:spacing w:line="276" w:lineRule="auto"/>
        <w:ind w:left="1428"/>
        <w:jc w:val="both"/>
        <w:rPr>
          <w:rFonts w:ascii="Arial" w:hAnsi="Arial" w:cs="Arial"/>
          <w:sz w:val="22"/>
        </w:rPr>
      </w:pPr>
    </w:p>
    <w:p w:rsidR="00410096" w:rsidRPr="00521B0B" w:rsidRDefault="00517254" w:rsidP="0046782F">
      <w:pPr>
        <w:ind w:firstLine="709"/>
        <w:jc w:val="both"/>
        <w:rPr>
          <w:rFonts w:ascii="Arial" w:hAnsi="Arial" w:cs="Arial"/>
          <w:i/>
          <w:sz w:val="22"/>
        </w:rPr>
      </w:pPr>
      <w:r w:rsidRPr="0027602F">
        <w:rPr>
          <w:rFonts w:ascii="Arial" w:hAnsi="Arial" w:cs="Arial"/>
          <w:sz w:val="22"/>
        </w:rPr>
        <w:t xml:space="preserve">Provoditelj natječaja i Fond za zaštitu okoliša i energetsku učinkovitost </w:t>
      </w:r>
      <w:r w:rsidR="009E5101">
        <w:rPr>
          <w:rFonts w:ascii="Arial" w:hAnsi="Arial" w:cs="Arial"/>
          <w:sz w:val="22"/>
        </w:rPr>
        <w:t>sufinancirat</w:t>
      </w:r>
      <w:r w:rsidRPr="0027602F">
        <w:rPr>
          <w:rFonts w:ascii="Arial" w:hAnsi="Arial" w:cs="Arial"/>
          <w:sz w:val="22"/>
        </w:rPr>
        <w:t xml:space="preserve"> će samo prihvatljive troškove mjera EnU koji su definirani u </w:t>
      </w:r>
      <w:r w:rsidR="0046782F" w:rsidRPr="0027602F">
        <w:rPr>
          <w:rFonts w:ascii="Arial" w:hAnsi="Arial" w:cs="Arial"/>
          <w:i/>
          <w:sz w:val="22"/>
        </w:rPr>
        <w:t xml:space="preserve">Pravilniku za provedbu </w:t>
      </w:r>
      <w:r w:rsidR="0046782F" w:rsidRPr="0027602F">
        <w:rPr>
          <w:rFonts w:ascii="Arial" w:hAnsi="Arial" w:cs="Arial"/>
          <w:i/>
          <w:color w:val="auto"/>
          <w:sz w:val="22"/>
        </w:rPr>
        <w:t>programa povećanja energetske učinkovitosti obiteljskih kuća</w:t>
      </w:r>
      <w:r w:rsidRPr="0027602F">
        <w:rPr>
          <w:rFonts w:ascii="Arial" w:hAnsi="Arial" w:cs="Arial"/>
          <w:sz w:val="22"/>
        </w:rPr>
        <w:t>(</w:t>
      </w:r>
      <w:r w:rsidRPr="0027602F">
        <w:rPr>
          <w:rFonts w:ascii="Arial" w:hAnsi="Arial" w:cs="Arial"/>
          <w:b/>
          <w:sz w:val="22"/>
        </w:rPr>
        <w:t>u tekstu: Pravilnik)</w:t>
      </w:r>
      <w:r w:rsidRPr="0027602F">
        <w:rPr>
          <w:rFonts w:ascii="Arial" w:hAnsi="Arial" w:cs="Arial"/>
          <w:sz w:val="22"/>
        </w:rPr>
        <w:t>.</w:t>
      </w:r>
    </w:p>
    <w:p w:rsidR="00410096" w:rsidRPr="0027602F" w:rsidRDefault="00410096">
      <w:pPr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Prihvatljivi trošak mjere EnU je onaj nastao nakon objave rezultata natječaja (vidi članak 12. Pravilnika). Komponente mjera EnU koje se smatraju prihvatljivim troškom naveden je u članku 3. Pravilnika, dok se sav ostali materijal, oprema ili usluga radova koji tamo nije naveden, a eventualno se može pojaviti u tijeku provedbe mjera EnU, smatra neprihvatljivim troškom te ga investitor snosi u 100% iznosu.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132093" w:rsidRDefault="00132093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lastRenderedPageBreak/>
        <w:t>Ugovorne strane su suglasne da će korisnik sredstava pri provedbi mjera EnUangažirati ovlaštenog izvođača radova</w:t>
      </w:r>
      <w:r w:rsidR="00DE4764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3.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VRIJEDNOSNI KUPON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Ugovorne strane suglasne su da će, nakon sklapanja ovog Ugovora, Provoditelj natječaja korisniku sredstava izdati Vrijednosni kupon </w:t>
      </w:r>
      <w:r w:rsidR="007118AF" w:rsidRPr="0027602F">
        <w:rPr>
          <w:rFonts w:ascii="Arial" w:hAnsi="Arial" w:cs="Arial"/>
          <w:sz w:val="22"/>
        </w:rPr>
        <w:t xml:space="preserve">sa </w:t>
      </w:r>
      <w:r w:rsidR="007118AF" w:rsidRPr="0027602F">
        <w:rPr>
          <w:rFonts w:ascii="Arial" w:hAnsi="Arial" w:cs="Arial"/>
          <w:i/>
          <w:sz w:val="22"/>
        </w:rPr>
        <w:t>Serijskim brojem</w:t>
      </w:r>
      <w:r w:rsidRPr="0027602F">
        <w:rPr>
          <w:rFonts w:ascii="Arial" w:hAnsi="Arial" w:cs="Arial"/>
          <w:sz w:val="22"/>
        </w:rPr>
        <w:t xml:space="preserve"> kao instrument plaćanja s određenim rokom važenja naznačenim na Vrijednosnom kuponu, uz predočenje osobne iskaznice korisnika sredstava/osobe ovlaštene za zastupanje ili valjane punomoći.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4a.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MINIMALNI TEHNIČKI UVJETI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 w:rsidP="009E5101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Korisnik sredstava se obvezuje da će </w:t>
      </w:r>
      <w:r w:rsidR="009E5101">
        <w:rPr>
          <w:rFonts w:ascii="Arial" w:hAnsi="Arial" w:cs="Arial"/>
          <w:sz w:val="22"/>
        </w:rPr>
        <w:t>sufinancirani</w:t>
      </w:r>
      <w:r w:rsidRPr="0027602F">
        <w:rPr>
          <w:rFonts w:ascii="Arial" w:hAnsi="Arial" w:cs="Arial"/>
          <w:sz w:val="22"/>
        </w:rPr>
        <w:t xml:space="preserve"> sustav toplinske zaštite vanjske ovojnice biti</w:t>
      </w:r>
    </w:p>
    <w:p w:rsidR="00517254" w:rsidRPr="0027602F" w:rsidRDefault="00517254" w:rsidP="007118AF">
      <w:pPr>
        <w:widowControl/>
        <w:numPr>
          <w:ilvl w:val="0"/>
          <w:numId w:val="3"/>
        </w:numPr>
        <w:autoSpaceDE w:val="0"/>
        <w:autoSpaceDN w:val="0"/>
        <w:adjustRightInd w:val="0"/>
        <w:ind w:left="0" w:hanging="359"/>
        <w:jc w:val="both"/>
        <w:rPr>
          <w:rFonts w:ascii="Arial" w:hAnsi="Arial" w:cs="Arial"/>
          <w:b/>
          <w:iCs/>
          <w:sz w:val="22"/>
        </w:rPr>
      </w:pPr>
      <w:r w:rsidRPr="0027602F">
        <w:rPr>
          <w:rFonts w:ascii="Arial" w:hAnsi="Arial" w:cs="Arial"/>
          <w:sz w:val="22"/>
        </w:rPr>
        <w:t>onaj kojim će se zadovoljiti koeficijent prolaska topline:</w:t>
      </w:r>
    </w:p>
    <w:p w:rsidR="00517254" w:rsidRPr="0027602F" w:rsidRDefault="00517254" w:rsidP="007118AF">
      <w:pPr>
        <w:pStyle w:val="Odlomakpopis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iCs/>
          <w:sz w:val="22"/>
        </w:rPr>
        <w:t>≤0,20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e,mj,min≤3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 (</w:t>
      </w:r>
      <w:r w:rsidRPr="0027602F">
        <w:rPr>
          <w:rFonts w:ascii="Arial" w:hAnsi="Arial" w:cs="Arial"/>
          <w:b/>
          <w:iCs/>
          <w:sz w:val="22"/>
        </w:rPr>
        <w:t>≤0,25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e,mj,min&gt;3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C) za krov, strop i pod grijanog prostora (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i&gt;18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C) prema vanjskom ili negrijanom prostoru (podrumu, garaži),</w:t>
      </w:r>
    </w:p>
    <w:p w:rsidR="00517254" w:rsidRPr="0027602F" w:rsidRDefault="00517254" w:rsidP="007118AF">
      <w:pPr>
        <w:pStyle w:val="Odlomakpopis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iCs/>
          <w:sz w:val="22"/>
        </w:rPr>
        <w:t>≤0,25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e,mj,min≤3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 (</w:t>
      </w:r>
      <w:r w:rsidRPr="0027602F">
        <w:rPr>
          <w:rFonts w:ascii="Arial" w:hAnsi="Arial" w:cs="Arial"/>
          <w:b/>
          <w:iCs/>
          <w:sz w:val="22"/>
        </w:rPr>
        <w:t>≤0,40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e,mj,min&gt;3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 xml:space="preserve">C) za vanjski zid grijanog prostora, </w:t>
      </w:r>
    </w:p>
    <w:p w:rsidR="007118AF" w:rsidRPr="0027602F" w:rsidRDefault="00517254" w:rsidP="007118AF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iCs/>
          <w:sz w:val="22"/>
        </w:rPr>
        <w:t>≤0,25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e,mj,min≤3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 (</w:t>
      </w:r>
      <w:r w:rsidRPr="0027602F">
        <w:rPr>
          <w:rFonts w:ascii="Arial" w:hAnsi="Arial" w:cs="Arial"/>
          <w:b/>
          <w:iCs/>
          <w:sz w:val="22"/>
        </w:rPr>
        <w:t>≤0,45</w:t>
      </w:r>
      <w:r w:rsidRPr="0027602F">
        <w:rPr>
          <w:rFonts w:ascii="Arial" w:hAnsi="Arial" w:cs="Arial"/>
          <w:iCs/>
          <w:sz w:val="22"/>
        </w:rPr>
        <w:t xml:space="preserve">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e,mj,min&gt;3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C) za pod prema tlu i ukopane dijelove grijanog prostora</w:t>
      </w:r>
      <w:r w:rsidRPr="0027602F">
        <w:rPr>
          <w:rFonts w:ascii="Arial" w:hAnsi="Arial" w:cs="Arial"/>
          <w:sz w:val="22"/>
        </w:rPr>
        <w:t xml:space="preserve">. </w:t>
      </w:r>
    </w:p>
    <w:p w:rsidR="009E5101" w:rsidRDefault="009E5101" w:rsidP="007118AF">
      <w:pPr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9F7FA2" w:rsidP="007118AF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Korisnik će zadovoljenje navedenih koeficijenata dokazati predajom projektne dokumentacije s izračunom i iskazom koeficijenata prolaza topline dijelova ovojnice obiteljske kuće ovjerene</w:t>
      </w:r>
      <w:r w:rsidR="00637BCC" w:rsidRPr="0027602F">
        <w:rPr>
          <w:rFonts w:ascii="Arial" w:hAnsi="Arial" w:cs="Arial"/>
          <w:sz w:val="22"/>
        </w:rPr>
        <w:t xml:space="preserve"> od strane ovlaštenog inženjera u roku od 60 dana donošenja  Zaključka o utvrđivanju bodovne liste i odabiru korisnika </w:t>
      </w:r>
      <w:r w:rsidR="00521B0B" w:rsidRPr="00521B0B">
        <w:rPr>
          <w:rFonts w:ascii="Arial" w:hAnsi="Arial" w:cs="Arial"/>
          <w:sz w:val="22"/>
        </w:rPr>
        <w:t>sufinanciranja</w:t>
      </w:r>
      <w:r w:rsidR="00637BCC" w:rsidRPr="0027602F">
        <w:rPr>
          <w:rFonts w:ascii="Arial" w:hAnsi="Arial" w:cs="Arial"/>
          <w:sz w:val="22"/>
        </w:rPr>
        <w:t xml:space="preserve"> a prije potpisivanja Ugovora.</w:t>
      </w:r>
    </w:p>
    <w:p w:rsidR="00410096" w:rsidRPr="0027602F" w:rsidRDefault="00410096">
      <w:pPr>
        <w:ind w:left="142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Navedeni iznos debljine i vrste toplinske izolacije ne odnosi se na spoj s podnožjem koji se izvodi ekstrudiranim polistirenom (XPS-om).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Svi dijelovi povezanog ETICS sustava moraju imati važeću </w:t>
      </w:r>
      <w:r w:rsidRPr="0027602F">
        <w:rPr>
          <w:rFonts w:ascii="Arial" w:hAnsi="Arial" w:cs="Arial"/>
          <w:i/>
          <w:sz w:val="22"/>
        </w:rPr>
        <w:t>Izjavu o svojstvima</w:t>
      </w:r>
      <w:r w:rsidRPr="0027602F">
        <w:rPr>
          <w:rFonts w:ascii="Arial" w:hAnsi="Arial" w:cs="Arial"/>
          <w:sz w:val="22"/>
        </w:rPr>
        <w:t xml:space="preserve"> ili </w:t>
      </w:r>
      <w:r w:rsidRPr="0027602F">
        <w:rPr>
          <w:rFonts w:ascii="Arial" w:hAnsi="Arial" w:cs="Arial"/>
          <w:i/>
          <w:sz w:val="22"/>
        </w:rPr>
        <w:t xml:space="preserve">Izjavu o sukladnosti </w:t>
      </w:r>
      <w:r w:rsidRPr="0027602F">
        <w:rPr>
          <w:rFonts w:ascii="Arial" w:hAnsi="Arial" w:cs="Arial"/>
          <w:sz w:val="22"/>
        </w:rPr>
        <w:t xml:space="preserve">sukladno </w:t>
      </w:r>
      <w:r w:rsidRPr="0027602F">
        <w:rPr>
          <w:rFonts w:ascii="Arial" w:hAnsi="Arial" w:cs="Arial"/>
          <w:i/>
          <w:sz w:val="22"/>
        </w:rPr>
        <w:t>Zakonu o građevnim proizvodima (NN 76/13)</w:t>
      </w:r>
      <w:r w:rsidRPr="0027602F">
        <w:rPr>
          <w:rFonts w:ascii="Arial" w:hAnsi="Arial" w:cs="Arial"/>
          <w:sz w:val="22"/>
        </w:rPr>
        <w:t xml:space="preserve"> koju osigurava proizvođač. Izvođač radova dužan je izdati Izjavu o jamstvenom roku na izvedene radove na  rok od minimalno 5 godina.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4b.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MINIMALNI TEHNIČKI UVJETI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Provedbom mjere EnU potrebno je postići jednak ili manji koeficijent prolaza topline pojedinih dijelova vanjske stolarije kako slijedi:</w:t>
      </w:r>
    </w:p>
    <w:p w:rsidR="009E2BDA" w:rsidRPr="0027602F" w:rsidRDefault="009E2BDA" w:rsidP="00637BCC">
      <w:pPr>
        <w:pStyle w:val="Odlomakpopisa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iCs/>
          <w:sz w:val="22"/>
        </w:rPr>
        <w:t>≤1,4</w:t>
      </w:r>
      <w:r w:rsidRPr="0027602F">
        <w:rPr>
          <w:rFonts w:ascii="Arial" w:hAnsi="Arial" w:cs="Arial"/>
          <w:iCs/>
          <w:sz w:val="22"/>
        </w:rPr>
        <w:t xml:space="preserve"> za komplet i </w:t>
      </w:r>
      <w:r w:rsidRPr="0027602F">
        <w:rPr>
          <w:rFonts w:ascii="Arial" w:hAnsi="Arial" w:cs="Arial"/>
          <w:b/>
          <w:iCs/>
          <w:sz w:val="22"/>
        </w:rPr>
        <w:t>≤1,1</w:t>
      </w:r>
      <w:r w:rsidRPr="0027602F">
        <w:rPr>
          <w:rFonts w:ascii="Arial" w:hAnsi="Arial" w:cs="Arial"/>
          <w:iCs/>
          <w:sz w:val="22"/>
        </w:rPr>
        <w:t xml:space="preserve"> za staklo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e,mj,min≤3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 te</w:t>
      </w:r>
    </w:p>
    <w:p w:rsidR="00410096" w:rsidRPr="0027602F" w:rsidRDefault="009E2BDA" w:rsidP="00637BCC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iCs/>
          <w:sz w:val="22"/>
        </w:rPr>
        <w:t>≤1,6</w:t>
      </w:r>
      <w:r w:rsidRPr="0027602F">
        <w:rPr>
          <w:rFonts w:ascii="Arial" w:hAnsi="Arial" w:cs="Arial"/>
          <w:iCs/>
          <w:sz w:val="22"/>
        </w:rPr>
        <w:t xml:space="preserve"> za komplet i </w:t>
      </w:r>
      <w:r w:rsidRPr="0027602F">
        <w:rPr>
          <w:rFonts w:ascii="Arial" w:hAnsi="Arial" w:cs="Arial"/>
          <w:b/>
          <w:iCs/>
          <w:sz w:val="22"/>
        </w:rPr>
        <w:t>≤1,1</w:t>
      </w:r>
      <w:r w:rsidRPr="0027602F">
        <w:rPr>
          <w:rFonts w:ascii="Arial" w:hAnsi="Arial" w:cs="Arial"/>
          <w:iCs/>
          <w:sz w:val="22"/>
        </w:rPr>
        <w:t xml:space="preserve"> za staklo za </w:t>
      </w:r>
      <w:r w:rsidRPr="0027602F">
        <w:rPr>
          <w:rFonts w:ascii="Arial" w:hAnsi="Arial" w:cs="Arial"/>
          <w:sz w:val="22"/>
        </w:rPr>
        <w:t>Θ</w:t>
      </w:r>
      <w:r w:rsidRPr="0027602F">
        <w:rPr>
          <w:rFonts w:ascii="Arial" w:hAnsi="Arial" w:cs="Arial"/>
          <w:iCs/>
          <w:sz w:val="22"/>
        </w:rPr>
        <w:t xml:space="preserve">e,mj,min&gt;3 </w:t>
      </w:r>
      <w:r w:rsidRPr="0027602F">
        <w:rPr>
          <w:rFonts w:ascii="Cambria Math" w:hAnsi="Cambria Math" w:cs="Cambria Math"/>
          <w:iCs/>
          <w:sz w:val="22"/>
        </w:rPr>
        <w:t>⁰</w:t>
      </w:r>
      <w:r w:rsidRPr="0027602F">
        <w:rPr>
          <w:rFonts w:ascii="Arial" w:hAnsi="Arial" w:cs="Arial"/>
          <w:iCs/>
          <w:sz w:val="22"/>
        </w:rPr>
        <w:t>C</w:t>
      </w:r>
      <w:r w:rsidR="00517254" w:rsidRPr="0027602F">
        <w:rPr>
          <w:rFonts w:ascii="Arial" w:hAnsi="Arial" w:cs="Arial"/>
          <w:sz w:val="22"/>
        </w:rPr>
        <w:t>.</w:t>
      </w:r>
    </w:p>
    <w:p w:rsidR="00637BCC" w:rsidRPr="0027602F" w:rsidRDefault="00637BCC">
      <w:pPr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637BCC">
      <w:pPr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Svi dijelovi vanjske stolarije (staklo, okvir, ispuna i dr.) moraju imati važeću Izjavu o svojstvima ili Izjavu o sukladnosti sukladno Zakonu o građevnim proizvodima (NN 76/13) koju osigurava proizvođač. Izvođač radova dužan je izdati Izjavu o jamstvenom roku na izvedene radove na  rok od minimalno </w:t>
      </w:r>
      <w:r w:rsidR="00515BFB">
        <w:rPr>
          <w:rFonts w:ascii="Arial" w:hAnsi="Arial" w:cs="Arial"/>
          <w:sz w:val="22"/>
        </w:rPr>
        <w:t>2</w:t>
      </w:r>
      <w:r w:rsidRPr="0027602F">
        <w:rPr>
          <w:rFonts w:ascii="Arial" w:hAnsi="Arial" w:cs="Arial"/>
          <w:sz w:val="22"/>
        </w:rPr>
        <w:t xml:space="preserve"> godina.</w:t>
      </w:r>
    </w:p>
    <w:p w:rsidR="00637BCC" w:rsidRPr="0027602F" w:rsidRDefault="00637BCC" w:rsidP="00637BCC">
      <w:pPr>
        <w:jc w:val="center"/>
        <w:rPr>
          <w:rFonts w:ascii="Arial" w:hAnsi="Arial" w:cs="Arial"/>
          <w:b/>
          <w:sz w:val="22"/>
        </w:rPr>
      </w:pPr>
    </w:p>
    <w:p w:rsidR="00637BCC" w:rsidRPr="0027602F" w:rsidRDefault="00637BCC" w:rsidP="00637BCC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lastRenderedPageBreak/>
        <w:t>Članak 4c.</w:t>
      </w:r>
    </w:p>
    <w:p w:rsidR="00637BCC" w:rsidRPr="0027602F" w:rsidRDefault="00637BCC" w:rsidP="00637BCC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MINIMALNI TEHNIČKI UVJETI</w:t>
      </w:r>
    </w:p>
    <w:p w:rsidR="00637BCC" w:rsidRPr="0027602F" w:rsidRDefault="00637BCC">
      <w:pPr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637BCC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Provedbu mjere EnU sustava grijanja moguće je izvršiti isključivo ugradnjom plinskih kondenzacijskih kotlova.</w:t>
      </w:r>
    </w:p>
    <w:p w:rsidR="00637BCC" w:rsidRPr="0027602F" w:rsidRDefault="00637BCC" w:rsidP="00637BCC">
      <w:pPr>
        <w:jc w:val="center"/>
        <w:rPr>
          <w:rFonts w:ascii="Arial" w:hAnsi="Arial" w:cs="Arial"/>
          <w:b/>
          <w:sz w:val="22"/>
        </w:rPr>
      </w:pPr>
    </w:p>
    <w:p w:rsidR="00637BCC" w:rsidRPr="0027602F" w:rsidRDefault="00637BCC" w:rsidP="00637BCC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4d.</w:t>
      </w:r>
    </w:p>
    <w:p w:rsidR="00637BCC" w:rsidRPr="0027602F" w:rsidRDefault="00637BCC" w:rsidP="00637BCC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MINIMALNI TEHNIČKI UVJETI</w:t>
      </w:r>
    </w:p>
    <w:p w:rsidR="00637BCC" w:rsidRPr="0027602F" w:rsidRDefault="00637BCC" w:rsidP="00637BCC">
      <w:pPr>
        <w:ind w:firstLine="709"/>
        <w:jc w:val="both"/>
        <w:rPr>
          <w:rFonts w:ascii="Arial" w:hAnsi="Arial" w:cs="Arial"/>
          <w:sz w:val="22"/>
        </w:rPr>
      </w:pPr>
    </w:p>
    <w:p w:rsidR="00637BCC" w:rsidRPr="0027602F" w:rsidRDefault="00637BCC" w:rsidP="00637BCC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Provedbu mjere EnU sustava prozračivanja moguće je izvršiti isključivo ugradnjom uređaja za povrat topline otpadnog zraka.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5.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VISINA UDJELA </w:t>
      </w:r>
      <w:r w:rsidR="00521B0B" w:rsidRPr="00521B0B">
        <w:rPr>
          <w:rFonts w:ascii="Arial" w:hAnsi="Arial" w:cs="Arial"/>
          <w:b/>
          <w:sz w:val="22"/>
        </w:rPr>
        <w:t>SUFINANCIRANJA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Po izvršenim radovima na provedbi Mjere EnU</w:t>
      </w:r>
      <w:r w:rsidR="00F46427" w:rsidRPr="0027602F">
        <w:rPr>
          <w:rFonts w:ascii="Arial" w:hAnsi="Arial" w:cs="Arial"/>
          <w:sz w:val="22"/>
        </w:rPr>
        <w:t xml:space="preserve"> korisnik sredstava predat</w:t>
      </w:r>
      <w:r w:rsidRPr="0027602F">
        <w:rPr>
          <w:rFonts w:ascii="Arial" w:hAnsi="Arial" w:cs="Arial"/>
          <w:sz w:val="22"/>
        </w:rPr>
        <w:t xml:space="preserve"> će Vrijednosni kupon iz članka 3. ovog Ugovora ovlaštenom izvođaču radova, temeljem kojeg će izvođač radova umanjiti iznos na računu za </w:t>
      </w:r>
      <w:r w:rsidRPr="00132093">
        <w:rPr>
          <w:rFonts w:ascii="Arial" w:hAnsi="Arial" w:cs="Arial"/>
          <w:sz w:val="22"/>
        </w:rPr>
        <w:t>50%</w:t>
      </w:r>
      <w:r w:rsidR="00132093">
        <w:rPr>
          <w:rFonts w:ascii="Arial" w:hAnsi="Arial" w:cs="Arial"/>
          <w:sz w:val="22"/>
        </w:rPr>
        <w:t xml:space="preserve"> </w:t>
      </w:r>
      <w:r w:rsidRPr="00132093">
        <w:rPr>
          <w:rFonts w:ascii="Arial" w:hAnsi="Arial" w:cs="Arial"/>
          <w:sz w:val="22"/>
        </w:rPr>
        <w:t>prihvatljivih troškova računa (uključujući PDV) do najviše 37.500,00 kn(slovima: tridesetsedamtisućaipetstokuna</w:t>
      </w:r>
      <w:r w:rsidRPr="0027602F">
        <w:rPr>
          <w:rFonts w:ascii="Arial" w:hAnsi="Arial" w:cs="Arial"/>
          <w:sz w:val="22"/>
        </w:rPr>
        <w:t>).</w:t>
      </w:r>
    </w:p>
    <w:p w:rsidR="00410096" w:rsidRPr="0027602F" w:rsidRDefault="00410096" w:rsidP="00316BDC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6.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ZAHTJEV ZA ISPLATU </w:t>
      </w:r>
      <w:r w:rsidR="003250EB">
        <w:rPr>
          <w:rFonts w:ascii="Arial" w:hAnsi="Arial" w:cs="Arial"/>
          <w:b/>
          <w:sz w:val="22"/>
        </w:rPr>
        <w:t xml:space="preserve">SREDSTAVA </w:t>
      </w:r>
      <w:r w:rsidR="00521B0B" w:rsidRPr="00521B0B">
        <w:rPr>
          <w:rFonts w:ascii="Arial" w:hAnsi="Arial" w:cs="Arial"/>
          <w:b/>
          <w:sz w:val="22"/>
        </w:rPr>
        <w:t>SUFINANCIRANJA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Iznos iz članka 5. ovog Ugovora, iznos je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koju će Provoditelj natječaja isplatiti izvođaču radova, nakon što angažirani izvođač radova, kod koje su korisnici sredstava ostvarili </w:t>
      </w:r>
      <w:r w:rsidR="00521B0B">
        <w:rPr>
          <w:rFonts w:ascii="Arial" w:hAnsi="Arial" w:cs="Arial"/>
          <w:sz w:val="22"/>
        </w:rPr>
        <w:t>sufinanciranje</w:t>
      </w:r>
      <w:r w:rsidRPr="0027602F">
        <w:rPr>
          <w:rFonts w:ascii="Arial" w:hAnsi="Arial" w:cs="Arial"/>
          <w:sz w:val="22"/>
        </w:rPr>
        <w:t xml:space="preserve"> putem </w:t>
      </w:r>
      <w:r w:rsidRPr="0027602F">
        <w:rPr>
          <w:rFonts w:ascii="Arial" w:hAnsi="Arial" w:cs="Arial"/>
          <w:i/>
          <w:sz w:val="22"/>
        </w:rPr>
        <w:t>Vrijednosnog kupona</w:t>
      </w:r>
      <w:r w:rsidRPr="0027602F">
        <w:rPr>
          <w:rFonts w:ascii="Arial" w:hAnsi="Arial" w:cs="Arial"/>
          <w:sz w:val="22"/>
        </w:rPr>
        <w:t>, podnese  </w:t>
      </w:r>
      <w:r w:rsidR="003250EB">
        <w:rPr>
          <w:rFonts w:ascii="Arial" w:hAnsi="Arial" w:cs="Arial"/>
          <w:i/>
          <w:sz w:val="22"/>
        </w:rPr>
        <w:t>Zahtjev za isplatu sredstava sufinanciranja</w:t>
      </w:r>
      <w:r w:rsidRPr="0027602F">
        <w:rPr>
          <w:rFonts w:ascii="Arial" w:hAnsi="Arial" w:cs="Arial"/>
          <w:i/>
          <w:sz w:val="22"/>
        </w:rPr>
        <w:t>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Zahtjev za isplatu sredstava pravne osobe obavezno mora sadržavati slijedeću dokumentaciju:</w:t>
      </w:r>
    </w:p>
    <w:p w:rsidR="00410096" w:rsidRPr="0027602F" w:rsidRDefault="00517254">
      <w:pPr>
        <w:numPr>
          <w:ilvl w:val="0"/>
          <w:numId w:val="2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ispostavljeni račun za opremu i ugradnju mjere EnU (original ili ovjerena kopija) koji mora sadržavati:</w:t>
      </w:r>
    </w:p>
    <w:p w:rsidR="00410096" w:rsidRPr="0027602F" w:rsidRDefault="00517254" w:rsidP="00F3506C">
      <w:pPr>
        <w:numPr>
          <w:ilvl w:val="0"/>
          <w:numId w:val="6"/>
        </w:numPr>
        <w:spacing w:line="276" w:lineRule="auto"/>
        <w:ind w:left="0" w:firstLine="426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detaljnu i cjelovitu specifikaciju ugrađenog materijala, opreme i radova na način da su navedene:</w:t>
      </w:r>
    </w:p>
    <w:p w:rsidR="00410096" w:rsidRPr="003250EB" w:rsidRDefault="00517254" w:rsidP="003250EB">
      <w:pPr>
        <w:pStyle w:val="Odlomakpopisa"/>
        <w:numPr>
          <w:ilvl w:val="1"/>
          <w:numId w:val="6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3250EB">
        <w:rPr>
          <w:rFonts w:ascii="Arial" w:hAnsi="Arial" w:cs="Arial"/>
          <w:sz w:val="22"/>
        </w:rPr>
        <w:t>stavke prihvatljivih troškova sukladno članku 3. ovoga Pravilnika;</w:t>
      </w:r>
    </w:p>
    <w:p w:rsidR="00410096" w:rsidRDefault="00517254" w:rsidP="00F3506C">
      <w:pPr>
        <w:numPr>
          <w:ilvl w:val="1"/>
          <w:numId w:val="6"/>
        </w:numPr>
        <w:spacing w:line="276" w:lineRule="auto"/>
        <w:ind w:left="0" w:firstLine="426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sav ostali materijal, oprema i radovi koji nisu sastavni dio prihvatljivih troškova;</w:t>
      </w:r>
    </w:p>
    <w:p w:rsidR="003250EB" w:rsidRPr="003250EB" w:rsidRDefault="003250EB" w:rsidP="003250EB">
      <w:pPr>
        <w:pStyle w:val="Odlomakpopisa"/>
        <w:numPr>
          <w:ilvl w:val="1"/>
          <w:numId w:val="6"/>
        </w:numPr>
        <w:ind w:left="709" w:hanging="283"/>
        <w:rPr>
          <w:rFonts w:ascii="Arial" w:hAnsi="Arial" w:cs="Arial"/>
          <w:sz w:val="22"/>
        </w:rPr>
      </w:pPr>
      <w:r w:rsidRPr="003250EB">
        <w:rPr>
          <w:rFonts w:ascii="Arial" w:hAnsi="Arial" w:cs="Arial"/>
          <w:sz w:val="22"/>
        </w:rPr>
        <w:t>jasno naznačenim iznosima sufinanciranja Provoditelja natječaja (u postotnom i apsolutnom iznosu) za dio prihvatljivih troškova.</w:t>
      </w:r>
    </w:p>
    <w:p w:rsidR="003250EB" w:rsidRPr="0027602F" w:rsidRDefault="003250EB" w:rsidP="003250EB">
      <w:pPr>
        <w:spacing w:line="276" w:lineRule="auto"/>
        <w:ind w:left="426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numPr>
          <w:ilvl w:val="0"/>
          <w:numId w:val="2"/>
        </w:numPr>
        <w:spacing w:after="200"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original Vrijednosnog kupona, cjelovito popunjen i obostrano ovjeren od strane Izvođača radova;</w:t>
      </w:r>
    </w:p>
    <w:p w:rsidR="00410096" w:rsidRPr="0027602F" w:rsidRDefault="00517254">
      <w:pPr>
        <w:numPr>
          <w:ilvl w:val="0"/>
          <w:numId w:val="2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kopiju ovjerene Pisane izjave izvođača radova o izvedenim radovima i uvjetima održavanja </w:t>
      </w:r>
      <w:r w:rsidR="006318DF" w:rsidRPr="0027602F">
        <w:rPr>
          <w:rFonts w:ascii="Arial" w:hAnsi="Arial" w:cs="Arial"/>
          <w:sz w:val="22"/>
        </w:rPr>
        <w:t>obiteljskih kuća</w:t>
      </w:r>
      <w:r w:rsidRPr="0027602F">
        <w:rPr>
          <w:rFonts w:ascii="Arial" w:hAnsi="Arial" w:cs="Arial"/>
          <w:sz w:val="22"/>
        </w:rPr>
        <w:t xml:space="preserve"> koji, sukladno </w:t>
      </w:r>
      <w:r w:rsidRPr="0027602F">
        <w:rPr>
          <w:rFonts w:ascii="Arial" w:hAnsi="Arial" w:cs="Arial"/>
          <w:i/>
          <w:sz w:val="22"/>
        </w:rPr>
        <w:t>Pravilniku o tehničkom pregledu građevine (NN 108/04)</w:t>
      </w:r>
      <w:r w:rsidRPr="0027602F">
        <w:rPr>
          <w:rFonts w:ascii="Arial" w:hAnsi="Arial" w:cs="Arial"/>
          <w:sz w:val="22"/>
        </w:rPr>
        <w:t>, mora sadržavati:</w:t>
      </w:r>
    </w:p>
    <w:p w:rsidR="00410096" w:rsidRPr="0027602F" w:rsidRDefault="00517254" w:rsidP="00F3506C">
      <w:pPr>
        <w:numPr>
          <w:ilvl w:val="0"/>
          <w:numId w:val="5"/>
        </w:numPr>
        <w:spacing w:line="276" w:lineRule="auto"/>
        <w:ind w:left="0" w:firstLine="426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naziv i adresa kućanstva;</w:t>
      </w:r>
    </w:p>
    <w:p w:rsidR="00410096" w:rsidRPr="0027602F" w:rsidRDefault="00517254" w:rsidP="00F3506C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izvješće o izvođenju radova i ugrađivanju mjera topli</w:t>
      </w:r>
      <w:r w:rsidR="006318DF" w:rsidRPr="0027602F">
        <w:rPr>
          <w:rFonts w:ascii="Arial" w:hAnsi="Arial" w:cs="Arial"/>
          <w:sz w:val="22"/>
        </w:rPr>
        <w:t>nske zaštite ovojnice obiteljske kuće</w:t>
      </w:r>
      <w:r w:rsidR="002F34FA" w:rsidRPr="0027602F">
        <w:rPr>
          <w:rFonts w:ascii="Arial" w:hAnsi="Arial" w:cs="Arial"/>
          <w:sz w:val="22"/>
        </w:rPr>
        <w:t>,</w:t>
      </w:r>
      <w:r w:rsidRPr="0027602F">
        <w:rPr>
          <w:rFonts w:ascii="Arial" w:hAnsi="Arial" w:cs="Arial"/>
          <w:sz w:val="22"/>
        </w:rPr>
        <w:t xml:space="preserve"> energetski učinkovite vanjske stolarije</w:t>
      </w:r>
      <w:r w:rsidR="002F34FA" w:rsidRPr="0027602F">
        <w:rPr>
          <w:rFonts w:ascii="Arial" w:hAnsi="Arial" w:cs="Arial"/>
          <w:sz w:val="22"/>
        </w:rPr>
        <w:t xml:space="preserve">, </w:t>
      </w:r>
      <w:r w:rsidR="006318DF" w:rsidRPr="0027602F">
        <w:rPr>
          <w:rFonts w:ascii="Arial" w:hAnsi="Arial" w:cs="Arial"/>
          <w:sz w:val="22"/>
        </w:rPr>
        <w:t>sustava grijanja ili sustava prozračivanja</w:t>
      </w:r>
      <w:r w:rsidRPr="0027602F">
        <w:rPr>
          <w:rFonts w:ascii="Arial" w:hAnsi="Arial" w:cs="Arial"/>
          <w:sz w:val="22"/>
        </w:rPr>
        <w:t xml:space="preserve"> u odnosu na tehničke upute za njihovu ugradnju i uporabu s uvjetima održavanja građevine s obzirom na izvedeno stanje građevine te ugrađene građevne proizvode;</w:t>
      </w:r>
    </w:p>
    <w:p w:rsidR="00410096" w:rsidRPr="0027602F" w:rsidRDefault="00517254" w:rsidP="00F3506C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lastRenderedPageBreak/>
        <w:t>specificiranu vrstu i debljinu kao i ukupnu površinu ugrađene toplinske izolacije ukoliko se provela mjera EnU</w:t>
      </w:r>
      <w:r w:rsidR="006318DF" w:rsidRPr="0027602F">
        <w:rPr>
          <w:rFonts w:ascii="Arial" w:hAnsi="Arial" w:cs="Arial"/>
          <w:sz w:val="22"/>
        </w:rPr>
        <w:t>ovojnice</w:t>
      </w:r>
      <w:r w:rsidRPr="0027602F">
        <w:rPr>
          <w:rFonts w:ascii="Arial" w:hAnsi="Arial" w:cs="Arial"/>
          <w:sz w:val="22"/>
        </w:rPr>
        <w:t>, odnosno vrstu ostakljenja i prozorskog okvira za vanjsku stolariju sa pripadajućim koeficijentima prolaska topline ukoliko se provela</w:t>
      </w:r>
      <w:r w:rsidR="006318DF" w:rsidRPr="0027602F">
        <w:rPr>
          <w:rFonts w:ascii="Arial" w:hAnsi="Arial" w:cs="Arial"/>
          <w:sz w:val="22"/>
        </w:rPr>
        <w:t xml:space="preserve"> mjera EnU za vanjsku stolariju i tehničku specifikaciju sustava grijanja i prozračivanja;</w:t>
      </w:r>
    </w:p>
    <w:p w:rsidR="00410096" w:rsidRPr="0027602F" w:rsidRDefault="00517254" w:rsidP="00F3506C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fotodokumentaciju u fazi izvođenja radova pri provedbu mjere EnU (minimalno 3 slike formata 15 x 10 cm na različitim lokacijama pročelja</w:t>
      </w:r>
      <w:r w:rsidR="006318DF" w:rsidRPr="0027602F">
        <w:rPr>
          <w:rFonts w:ascii="Arial" w:hAnsi="Arial" w:cs="Arial"/>
          <w:sz w:val="22"/>
        </w:rPr>
        <w:t>, u slučaju ugradnje sustava grijanja i prozračivanja slike ugrađene opreme</w:t>
      </w:r>
      <w:r w:rsidRPr="0027602F">
        <w:rPr>
          <w:rFonts w:ascii="Arial" w:hAnsi="Arial" w:cs="Arial"/>
          <w:sz w:val="22"/>
        </w:rPr>
        <w:t>);</w:t>
      </w:r>
    </w:p>
    <w:p w:rsidR="00410096" w:rsidRPr="0027602F" w:rsidRDefault="00517254" w:rsidP="00F3506C">
      <w:pPr>
        <w:numPr>
          <w:ilvl w:val="0"/>
          <w:numId w:val="5"/>
        </w:numPr>
        <w:spacing w:after="240" w:line="276" w:lineRule="auto"/>
        <w:ind w:left="851" w:hanging="425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popis dokaza o sukladnosti ugrađene opreme, isprava o sukladnosti ili svojstvima.</w:t>
      </w:r>
    </w:p>
    <w:p w:rsidR="00410096" w:rsidRPr="0027602F" w:rsidRDefault="00517254">
      <w:pPr>
        <w:numPr>
          <w:ilvl w:val="0"/>
          <w:numId w:val="2"/>
        </w:numPr>
        <w:spacing w:after="200"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kopija ovjerene Izjave o jamstvenom roku na izvedene radove na rok od minimalno 2 godine (ovjerava ga Izvođač radova);</w:t>
      </w:r>
    </w:p>
    <w:p w:rsidR="00410096" w:rsidRPr="0027602F" w:rsidRDefault="00517254">
      <w:pPr>
        <w:numPr>
          <w:ilvl w:val="0"/>
          <w:numId w:val="2"/>
        </w:numPr>
        <w:spacing w:line="276" w:lineRule="auto"/>
        <w:ind w:left="0" w:hanging="35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važeća Suglasnost za obavljanje djelatnosti građenja angažiranog Izvođača radova sukladno članku 3. Pravilnika;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7.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NAČIN DOSTAVE ZAHTJEVA ZA ISPLATU </w:t>
      </w:r>
      <w:r w:rsidR="00521B0B" w:rsidRPr="00521B0B">
        <w:rPr>
          <w:rFonts w:ascii="Arial" w:hAnsi="Arial" w:cs="Arial"/>
          <w:b/>
          <w:sz w:val="22"/>
        </w:rPr>
        <w:t>SUFINANCIRANJA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3250EB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Zahtjev za isplatu sredstava sufinanciranja</w:t>
      </w:r>
      <w:r w:rsidR="00517254" w:rsidRPr="0027602F">
        <w:rPr>
          <w:rFonts w:ascii="Arial" w:hAnsi="Arial" w:cs="Arial"/>
          <w:sz w:val="22"/>
        </w:rPr>
        <w:t xml:space="preserve"> dostavlja se </w:t>
      </w:r>
      <w:r w:rsidR="00517254" w:rsidRPr="0027602F">
        <w:rPr>
          <w:rFonts w:ascii="Arial" w:hAnsi="Arial" w:cs="Arial"/>
          <w:sz w:val="22"/>
          <w:u w:val="single"/>
        </w:rPr>
        <w:t xml:space="preserve">isključivo kao preporučena pošiljka sa povratnicom </w:t>
      </w:r>
      <w:r w:rsidR="00517254" w:rsidRPr="0027602F">
        <w:rPr>
          <w:rFonts w:ascii="Arial" w:hAnsi="Arial" w:cs="Arial"/>
          <w:sz w:val="22"/>
        </w:rPr>
        <w:t>u pisanom obliku, zatvorenoj omotnici s nazivom, OIB-om i adresom Izvođača radova, na adresu:</w:t>
      </w:r>
    </w:p>
    <w:p w:rsidR="00410096" w:rsidRPr="0027602F" w:rsidRDefault="00132093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SRAČINEC, Varaždinska 188, 42209 Sračinec</w:t>
      </w:r>
    </w:p>
    <w:p w:rsidR="00410096" w:rsidRPr="0027602F" w:rsidRDefault="00517254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  <w:r w:rsidRPr="00132093">
        <w:rPr>
          <w:rFonts w:ascii="Arial" w:hAnsi="Arial" w:cs="Arial"/>
          <w:sz w:val="22"/>
        </w:rPr>
        <w:t xml:space="preserve">uz naznaku: </w:t>
      </w:r>
      <w:r w:rsidRPr="00132093">
        <w:rPr>
          <w:rFonts w:ascii="Arial" w:hAnsi="Arial" w:cs="Arial"/>
          <w:b/>
          <w:i/>
          <w:sz w:val="22"/>
        </w:rPr>
        <w:t xml:space="preserve">Projekt EnU 2014 - </w:t>
      </w:r>
      <w:r w:rsidR="003250EB" w:rsidRPr="00132093">
        <w:rPr>
          <w:rFonts w:ascii="Arial" w:hAnsi="Arial" w:cs="Arial"/>
          <w:b/>
          <w:i/>
          <w:sz w:val="22"/>
        </w:rPr>
        <w:t>Zahtjev za isplatu sredstava sufinanciranja</w:t>
      </w:r>
    </w:p>
    <w:p w:rsidR="00410096" w:rsidRPr="0027602F" w:rsidRDefault="00410096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8.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OČEVID PROVEDENE MJERE EnU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Po primitku Zahtjeva za isplatu sredstava Provoditelj natječaja provodi očevid provedene mjere EnU te izrađuje </w:t>
      </w:r>
      <w:r w:rsidRPr="0027602F">
        <w:rPr>
          <w:rFonts w:ascii="Arial" w:hAnsi="Arial" w:cs="Arial"/>
          <w:i/>
          <w:sz w:val="22"/>
        </w:rPr>
        <w:t>Zapisnik o provedenom očevidu</w:t>
      </w:r>
      <w:r w:rsidRPr="0027602F">
        <w:rPr>
          <w:rFonts w:ascii="Arial" w:hAnsi="Arial" w:cs="Arial"/>
          <w:sz w:val="22"/>
        </w:rPr>
        <w:t>. Korisnik sredst</w:t>
      </w:r>
      <w:r w:rsidR="006318DF" w:rsidRPr="0027602F">
        <w:rPr>
          <w:rFonts w:ascii="Arial" w:hAnsi="Arial" w:cs="Arial"/>
          <w:sz w:val="22"/>
        </w:rPr>
        <w:t xml:space="preserve">ava se obvezuje da će biti </w:t>
      </w:r>
      <w:r w:rsidRPr="0027602F">
        <w:rPr>
          <w:rFonts w:ascii="Arial" w:hAnsi="Arial" w:cs="Arial"/>
          <w:sz w:val="22"/>
        </w:rPr>
        <w:t>dostupan za provođenja očevida te da će tom prilikom predstavniku Provoditelja natječaja dati na uvid svu potrebnu dokumentaciju propisanu natječajem te po potrebi i drugu dokumentaciju vezanu uz provedbu mjere EnU.</w:t>
      </w:r>
    </w:p>
    <w:p w:rsidR="00410096" w:rsidRPr="0027602F" w:rsidRDefault="00410096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9.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ISPLATA SREDSTAVA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U slučaju zadovoljavanja svih uvjeta za isplatu sukladno Članku 16. Pravilnika, Provoditelj natječaja je dužan u roku od 10 dana od dana zaprimanja cjelovitog </w:t>
      </w:r>
      <w:r w:rsidR="001279DC">
        <w:rPr>
          <w:rFonts w:ascii="Arial" w:hAnsi="Arial" w:cs="Arial"/>
          <w:i/>
          <w:sz w:val="22"/>
        </w:rPr>
        <w:t>Zahtjeva za povrat sredstava sufinanciranja</w:t>
      </w:r>
      <w:r w:rsidRPr="0027602F">
        <w:rPr>
          <w:rFonts w:ascii="Arial" w:hAnsi="Arial" w:cs="Arial"/>
          <w:i/>
          <w:sz w:val="22"/>
        </w:rPr>
        <w:t>,</w:t>
      </w:r>
      <w:r w:rsidRPr="0027602F">
        <w:rPr>
          <w:rFonts w:ascii="Arial" w:hAnsi="Arial" w:cs="Arial"/>
          <w:sz w:val="22"/>
        </w:rPr>
        <w:t xml:space="preserve"> prema iznosima navedenim u Vrijednosnom kuponu, na navedeni IBAN Izvođača radova, isplatiti </w:t>
      </w:r>
      <w:r w:rsidR="00521B0B">
        <w:rPr>
          <w:rFonts w:ascii="Arial" w:hAnsi="Arial" w:cs="Arial"/>
          <w:sz w:val="22"/>
        </w:rPr>
        <w:t>sufinanciranje</w:t>
      </w:r>
      <w:r w:rsidRPr="0027602F">
        <w:rPr>
          <w:rFonts w:ascii="Arial" w:hAnsi="Arial" w:cs="Arial"/>
          <w:sz w:val="22"/>
        </w:rPr>
        <w:t xml:space="preserve">. </w:t>
      </w:r>
    </w:p>
    <w:p w:rsidR="00410096" w:rsidRPr="0027602F" w:rsidRDefault="00410096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:rsidR="00132093" w:rsidRDefault="00521B0B" w:rsidP="00132093">
      <w:pPr>
        <w:spacing w:after="200" w:line="276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Sufinanciranje</w:t>
      </w:r>
      <w:r w:rsidR="00517254" w:rsidRPr="0027602F">
        <w:rPr>
          <w:rFonts w:ascii="Arial" w:hAnsi="Arial" w:cs="Arial"/>
          <w:sz w:val="22"/>
        </w:rPr>
        <w:t xml:space="preserve"> se dodjeljuje uz uvjet dostave cjelovitog </w:t>
      </w:r>
      <w:r w:rsidR="00517254" w:rsidRPr="0027602F">
        <w:rPr>
          <w:rFonts w:ascii="Arial" w:hAnsi="Arial" w:cs="Arial"/>
          <w:i/>
          <w:sz w:val="22"/>
        </w:rPr>
        <w:t xml:space="preserve">Zahtjeva za isplatu </w:t>
      </w:r>
      <w:r>
        <w:rPr>
          <w:rFonts w:ascii="Arial" w:hAnsi="Arial" w:cs="Arial"/>
          <w:sz w:val="22"/>
        </w:rPr>
        <w:t>sufinanciranj</w:t>
      </w:r>
      <w:r>
        <w:rPr>
          <w:rFonts w:ascii="Arial" w:hAnsi="Arial" w:cs="Arial"/>
          <w:i/>
          <w:sz w:val="22"/>
        </w:rPr>
        <w:t>a</w:t>
      </w:r>
      <w:r w:rsidR="00517254" w:rsidRPr="0027602F">
        <w:rPr>
          <w:rFonts w:ascii="Arial" w:hAnsi="Arial" w:cs="Arial"/>
          <w:sz w:val="22"/>
        </w:rPr>
        <w:t>. Ukoliko se dostavi necjeloviti</w:t>
      </w:r>
      <w:r w:rsidR="003250EB">
        <w:rPr>
          <w:rFonts w:ascii="Arial" w:hAnsi="Arial" w:cs="Arial"/>
          <w:i/>
          <w:sz w:val="22"/>
        </w:rPr>
        <w:t>Zahtjev za isplatu sredstava sufinanciranja</w:t>
      </w:r>
      <w:r w:rsidR="00517254" w:rsidRPr="0027602F">
        <w:rPr>
          <w:rFonts w:ascii="Arial" w:hAnsi="Arial" w:cs="Arial"/>
          <w:sz w:val="22"/>
        </w:rPr>
        <w:t xml:space="preserve"> Izvođač radova dužan ga je nadopuniti sa traženom dokumentacijom u roku od 10 dana od dana zaprimanja službene obavijesti od strane Provoditelj natječaja. </w:t>
      </w:r>
    </w:p>
    <w:p w:rsidR="00410096" w:rsidRPr="00521B0B" w:rsidRDefault="00517254" w:rsidP="00132093">
      <w:pPr>
        <w:spacing w:after="200" w:line="276" w:lineRule="auto"/>
        <w:ind w:firstLine="709"/>
        <w:jc w:val="both"/>
        <w:rPr>
          <w:rFonts w:ascii="Arial" w:hAnsi="Arial" w:cs="Arial"/>
          <w:i/>
          <w:sz w:val="22"/>
        </w:rPr>
      </w:pPr>
      <w:r w:rsidRPr="0027602F">
        <w:rPr>
          <w:rFonts w:ascii="Arial" w:hAnsi="Arial" w:cs="Arial"/>
          <w:sz w:val="22"/>
        </w:rPr>
        <w:lastRenderedPageBreak/>
        <w:t xml:space="preserve">Ukoliko se utvrdi da dokumentacija dostavljena u </w:t>
      </w:r>
      <w:r w:rsidRPr="0027602F">
        <w:rPr>
          <w:rFonts w:ascii="Arial" w:hAnsi="Arial" w:cs="Arial"/>
          <w:i/>
          <w:sz w:val="22"/>
        </w:rPr>
        <w:t xml:space="preserve">Zahtjevu za povrat </w:t>
      </w:r>
      <w:r w:rsidR="001279DC">
        <w:rPr>
          <w:rFonts w:ascii="Arial" w:hAnsi="Arial" w:cs="Arial"/>
          <w:i/>
          <w:sz w:val="22"/>
        </w:rPr>
        <w:t xml:space="preserve">sredstava </w:t>
      </w:r>
      <w:r w:rsidR="00521B0B" w:rsidRPr="00521B0B">
        <w:rPr>
          <w:rFonts w:ascii="Arial" w:hAnsi="Arial" w:cs="Arial"/>
          <w:i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nije u skladu člankom 3. Pravilnika (Predmet i prihvatljivi troškovi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) Provoditelj natječaja zadržava pravo neisplaćivanja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izvođaču radova.</w:t>
      </w:r>
    </w:p>
    <w:p w:rsidR="00410096" w:rsidRPr="0027602F" w:rsidRDefault="00517254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Zahtjevi za isplatom </w:t>
      </w:r>
      <w:r w:rsidR="001279DC">
        <w:rPr>
          <w:rFonts w:ascii="Arial" w:hAnsi="Arial" w:cs="Arial"/>
          <w:sz w:val="22"/>
        </w:rPr>
        <w:t xml:space="preserve">sredstava </w:t>
      </w:r>
      <w:r w:rsidR="00521B0B" w:rsidRPr="00521B0B">
        <w:rPr>
          <w:rFonts w:ascii="Arial" w:hAnsi="Arial" w:cs="Arial"/>
          <w:sz w:val="22"/>
        </w:rPr>
        <w:t xml:space="preserve">sufinanciranja </w:t>
      </w:r>
      <w:r w:rsidRPr="0027602F">
        <w:rPr>
          <w:rFonts w:ascii="Arial" w:hAnsi="Arial" w:cs="Arial"/>
          <w:sz w:val="22"/>
        </w:rPr>
        <w:t xml:space="preserve">pristigli </w:t>
      </w:r>
      <w:r w:rsidR="009E5101">
        <w:rPr>
          <w:rFonts w:ascii="Arial" w:hAnsi="Arial" w:cs="Arial"/>
          <w:sz w:val="22"/>
        </w:rPr>
        <w:t>nakon roka isteka kupona neće sesufinancirati</w:t>
      </w:r>
      <w:r w:rsidRPr="0027602F">
        <w:rPr>
          <w:rFonts w:ascii="Arial" w:hAnsi="Arial" w:cs="Arial"/>
          <w:sz w:val="22"/>
        </w:rPr>
        <w:t>.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10.</w:t>
      </w: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OBVEZE KORISNIKA SREDSTAVA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Ugovorne strane suglasne su da će korisnik sredstava provedenu mjeru EnU koja će biti funkcionalna cjelina i koja će se sastojati iz svih potrebnih komponenti od dana ugradnje redovito održavati sukladno uputama proizvođača.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11.</w:t>
      </w: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 xml:space="preserve">ODUSTAJANJE OD IZGRADNJE I </w:t>
      </w:r>
      <w:r w:rsidR="009E5101">
        <w:rPr>
          <w:rFonts w:ascii="Arial" w:hAnsi="Arial" w:cs="Arial"/>
          <w:b/>
          <w:sz w:val="22"/>
        </w:rPr>
        <w:t>SUFINANCIRANJA</w:t>
      </w:r>
      <w:r w:rsidRPr="0027602F">
        <w:rPr>
          <w:rFonts w:ascii="Arial" w:hAnsi="Arial" w:cs="Arial"/>
          <w:b/>
          <w:sz w:val="22"/>
        </w:rPr>
        <w:t xml:space="preserve"> PROJEKTA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Korisnik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može odustati od provedbe mjere EnU u roku od 60 dana od dana potpisivanja ovog Ugovora od strane Provoditelja natječaja. U tom slučaju prije zadanog roka za predaju </w:t>
      </w:r>
      <w:r w:rsidRPr="0027602F">
        <w:rPr>
          <w:rFonts w:ascii="Arial" w:hAnsi="Arial" w:cs="Arial"/>
          <w:i/>
          <w:sz w:val="22"/>
        </w:rPr>
        <w:t xml:space="preserve">Zahtjeva za isplatom </w:t>
      </w:r>
      <w:r w:rsidR="00521B0B" w:rsidRPr="00521B0B">
        <w:rPr>
          <w:rFonts w:ascii="Arial" w:hAnsi="Arial" w:cs="Arial"/>
          <w:i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dužan je vrati nerealizirani vrijednosni kupon i u pisanoj formi, obavijestiti Provoditelja natječaja  o odustajanju od realizacije projekta.</w:t>
      </w: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Ukoliko korisnik </w:t>
      </w:r>
      <w:r w:rsidR="00521B0B" w:rsidRPr="00521B0B">
        <w:rPr>
          <w:rFonts w:ascii="Arial" w:hAnsi="Arial" w:cs="Arial"/>
          <w:sz w:val="22"/>
        </w:rPr>
        <w:t>sufinanciranja</w:t>
      </w:r>
      <w:r w:rsidRPr="0027602F">
        <w:rPr>
          <w:rFonts w:ascii="Arial" w:hAnsi="Arial" w:cs="Arial"/>
          <w:sz w:val="22"/>
        </w:rPr>
        <w:t xml:space="preserve"> ne provede mjeru EnU te ne preda </w:t>
      </w:r>
      <w:r w:rsidRPr="0027602F">
        <w:rPr>
          <w:rFonts w:ascii="Arial" w:hAnsi="Arial" w:cs="Arial"/>
          <w:i/>
          <w:sz w:val="22"/>
        </w:rPr>
        <w:t xml:space="preserve">Zahtjev za isplatom </w:t>
      </w:r>
      <w:r w:rsidR="00521B0B" w:rsidRPr="00521B0B">
        <w:rPr>
          <w:rFonts w:ascii="Arial" w:hAnsi="Arial" w:cs="Arial"/>
          <w:i/>
          <w:sz w:val="22"/>
        </w:rPr>
        <w:t>sufinanciranja</w:t>
      </w:r>
      <w:r w:rsidRPr="0027602F">
        <w:rPr>
          <w:rFonts w:ascii="Arial" w:hAnsi="Arial" w:cs="Arial"/>
          <w:sz w:val="22"/>
        </w:rPr>
        <w:t>sa svom potrebnom dokumentacijom, unatoč potpisanom Ugovoru, a nije dostavio pisanu Izjavu o odustajanju kojom pravda nemogućnost ugradnje, gubi pravo na sudjelovanje u natječajima Provoditelja natječaja u iduće 3 (slovima: tri) godine, ne računajući godinu u kojoj se prijavio.</w:t>
      </w: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Izjavu o odustajanju od realizacije projekta, zajedno s nerealiziranim vrijednosnim kuponom, korisnik sredstava dostavlja </w:t>
      </w:r>
      <w:r w:rsidRPr="0027602F">
        <w:rPr>
          <w:rFonts w:ascii="Arial" w:hAnsi="Arial" w:cs="Arial"/>
          <w:sz w:val="22"/>
          <w:u w:val="single"/>
        </w:rPr>
        <w:t xml:space="preserve">isključivo kao preporučena pošiljka sa povratnicom na </w:t>
      </w:r>
      <w:r w:rsidRPr="0027602F">
        <w:rPr>
          <w:rFonts w:ascii="Arial" w:hAnsi="Arial" w:cs="Arial"/>
          <w:sz w:val="22"/>
        </w:rPr>
        <w:t>adresu:</w:t>
      </w:r>
    </w:p>
    <w:p w:rsidR="00410096" w:rsidRPr="00132093" w:rsidRDefault="00132093">
      <w:pPr>
        <w:ind w:firstLine="708"/>
        <w:jc w:val="both"/>
        <w:rPr>
          <w:rFonts w:ascii="Arial" w:hAnsi="Arial" w:cs="Arial"/>
          <w:sz w:val="22"/>
        </w:rPr>
      </w:pPr>
      <w:r w:rsidRPr="00132093">
        <w:rPr>
          <w:rFonts w:ascii="Arial" w:hAnsi="Arial" w:cs="Arial"/>
          <w:sz w:val="22"/>
        </w:rPr>
        <w:t>OPĆINA SRAČINEC, Varaždinska 188, 42209 Sračinec</w:t>
      </w:r>
      <w:r w:rsidR="00517254" w:rsidRPr="00132093">
        <w:rPr>
          <w:rFonts w:ascii="Arial" w:hAnsi="Arial" w:cs="Arial"/>
          <w:sz w:val="22"/>
        </w:rPr>
        <w:t xml:space="preserve">         </w:t>
      </w:r>
    </w:p>
    <w:p w:rsidR="00410096" w:rsidRPr="0027602F" w:rsidRDefault="00517254">
      <w:pPr>
        <w:ind w:left="708"/>
        <w:jc w:val="both"/>
        <w:rPr>
          <w:rFonts w:ascii="Arial" w:hAnsi="Arial" w:cs="Arial"/>
          <w:sz w:val="22"/>
        </w:rPr>
      </w:pPr>
      <w:r w:rsidRPr="00132093">
        <w:rPr>
          <w:rFonts w:ascii="Arial" w:hAnsi="Arial" w:cs="Arial"/>
          <w:sz w:val="22"/>
        </w:rPr>
        <w:t>uz naznaku: Projekt EnU 2014 - Izjava o odustajanju</w:t>
      </w:r>
    </w:p>
    <w:p w:rsidR="00410096" w:rsidRPr="0027602F" w:rsidRDefault="00410096">
      <w:pPr>
        <w:rPr>
          <w:rFonts w:ascii="Arial" w:hAnsi="Arial" w:cs="Arial"/>
          <w:sz w:val="22"/>
        </w:rPr>
      </w:pP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746C49" w:rsidRPr="0027602F" w:rsidRDefault="00746C49">
      <w:pPr>
        <w:jc w:val="center"/>
        <w:rPr>
          <w:rFonts w:ascii="Arial" w:hAnsi="Arial" w:cs="Arial"/>
          <w:b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OPĆE ODREDBE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12.</w:t>
      </w:r>
    </w:p>
    <w:p w:rsidR="00410096" w:rsidRPr="0027602F" w:rsidRDefault="00410096">
      <w:pPr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Ugovorne strane su suglasne da će sve međusobne sporne odnose koji bi proizašli iz ovog Ugovora riješiti sporazumno, a ukoliko to ne uspiju spor će riješiti stvarno nadležni sud u Zagrebu.</w:t>
      </w:r>
    </w:p>
    <w:p w:rsidR="00410096" w:rsidRPr="0027602F" w:rsidRDefault="00410096">
      <w:pPr>
        <w:tabs>
          <w:tab w:val="center" w:pos="4536"/>
        </w:tabs>
        <w:rPr>
          <w:rFonts w:ascii="Arial" w:hAnsi="Arial" w:cs="Arial"/>
          <w:sz w:val="22"/>
        </w:rPr>
      </w:pPr>
    </w:p>
    <w:p w:rsidR="00410096" w:rsidRPr="0027602F" w:rsidRDefault="00410096">
      <w:pPr>
        <w:tabs>
          <w:tab w:val="center" w:pos="4536"/>
        </w:tabs>
        <w:rPr>
          <w:rFonts w:ascii="Arial" w:hAnsi="Arial" w:cs="Arial"/>
          <w:sz w:val="22"/>
        </w:rPr>
      </w:pPr>
    </w:p>
    <w:p w:rsidR="00410096" w:rsidRPr="0027602F" w:rsidRDefault="00517254">
      <w:pPr>
        <w:tabs>
          <w:tab w:val="center" w:pos="4536"/>
        </w:tabs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13.</w:t>
      </w:r>
    </w:p>
    <w:p w:rsidR="00410096" w:rsidRPr="0027602F" w:rsidRDefault="00410096">
      <w:pPr>
        <w:tabs>
          <w:tab w:val="center" w:pos="4536"/>
        </w:tabs>
        <w:jc w:val="center"/>
        <w:rPr>
          <w:rFonts w:ascii="Arial" w:hAnsi="Arial" w:cs="Arial"/>
          <w:sz w:val="22"/>
        </w:rPr>
      </w:pP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Ugovorne strane sporazumno utvrđuju da su ovaj Ugovor pročitale i razumjele, da na isti nemaju primjedbi, da u cijelosti prihvaćaju svoja prava i obveze koje iz njega proizlaze te ga u znak prihvaćanja potpisuju.</w:t>
      </w: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ind w:firstLine="708"/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center"/>
        <w:rPr>
          <w:rFonts w:ascii="Arial" w:hAnsi="Arial" w:cs="Arial"/>
          <w:sz w:val="22"/>
        </w:rPr>
      </w:pPr>
      <w:r w:rsidRPr="0027602F">
        <w:rPr>
          <w:rFonts w:ascii="Arial" w:hAnsi="Arial" w:cs="Arial"/>
          <w:b/>
          <w:sz w:val="22"/>
        </w:rPr>
        <w:t>Članak 14.</w:t>
      </w:r>
    </w:p>
    <w:p w:rsidR="00410096" w:rsidRPr="0027602F" w:rsidRDefault="00517254">
      <w:pPr>
        <w:ind w:firstLine="708"/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Ovaj ugovor sastavljen je u četiri (4) jednaka primjerka od kojih jedan (1) primjerak zadržava korisnik sredstava, a tri (3) primjerka Provoditelj natječaja.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>Za korisnika sredstava:</w:t>
      </w:r>
      <w:r w:rsidRPr="0027602F">
        <w:rPr>
          <w:rFonts w:ascii="Arial" w:hAnsi="Arial" w:cs="Arial"/>
          <w:b/>
          <w:sz w:val="22"/>
        </w:rPr>
        <w:tab/>
      </w:r>
      <w:r w:rsidRPr="0027602F">
        <w:rPr>
          <w:rFonts w:ascii="Arial" w:hAnsi="Arial" w:cs="Arial"/>
          <w:b/>
          <w:sz w:val="22"/>
        </w:rPr>
        <w:tab/>
      </w:r>
      <w:r w:rsidRPr="0027602F">
        <w:rPr>
          <w:rFonts w:ascii="Arial" w:hAnsi="Arial" w:cs="Arial"/>
          <w:b/>
          <w:sz w:val="22"/>
        </w:rPr>
        <w:tab/>
      </w:r>
      <w:r w:rsidRPr="0027602F">
        <w:rPr>
          <w:rFonts w:ascii="Arial" w:hAnsi="Arial" w:cs="Arial"/>
          <w:b/>
          <w:sz w:val="22"/>
        </w:rPr>
        <w:tab/>
      </w:r>
      <w:r w:rsidRPr="0027602F">
        <w:rPr>
          <w:rFonts w:ascii="Arial" w:hAnsi="Arial" w:cs="Arial"/>
          <w:b/>
          <w:sz w:val="22"/>
        </w:rPr>
        <w:tab/>
      </w:r>
      <w:r w:rsidRPr="0027602F">
        <w:rPr>
          <w:rFonts w:ascii="Arial" w:hAnsi="Arial" w:cs="Arial"/>
          <w:sz w:val="22"/>
        </w:rPr>
        <w:t xml:space="preserve">Za </w:t>
      </w:r>
      <w:r w:rsidR="00132093">
        <w:rPr>
          <w:rFonts w:ascii="Arial" w:hAnsi="Arial" w:cs="Arial"/>
          <w:sz w:val="22"/>
        </w:rPr>
        <w:t>Općinu Sračinec</w:t>
      </w:r>
    </w:p>
    <w:p w:rsidR="00410096" w:rsidRPr="0027602F" w:rsidRDefault="00517254">
      <w:p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Pr="0027602F">
        <w:rPr>
          <w:rFonts w:ascii="Arial" w:hAnsi="Arial" w:cs="Arial"/>
          <w:sz w:val="22"/>
        </w:rPr>
        <w:tab/>
      </w:r>
      <w:r w:rsidR="00132093">
        <w:rPr>
          <w:rFonts w:ascii="Arial" w:hAnsi="Arial" w:cs="Arial"/>
          <w:sz w:val="22"/>
        </w:rPr>
        <w:t xml:space="preserve">            Načelnik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517254">
      <w:pPr>
        <w:jc w:val="both"/>
        <w:rPr>
          <w:rFonts w:ascii="Arial" w:hAnsi="Arial" w:cs="Arial"/>
          <w:sz w:val="22"/>
        </w:rPr>
      </w:pPr>
      <w:r w:rsidRPr="0027602F">
        <w:rPr>
          <w:rFonts w:ascii="Arial" w:hAnsi="Arial" w:cs="Arial"/>
          <w:sz w:val="22"/>
        </w:rPr>
        <w:t xml:space="preserve">__________________________                                           </w:t>
      </w:r>
      <w:r w:rsidR="00132093">
        <w:rPr>
          <w:rFonts w:ascii="Arial" w:hAnsi="Arial" w:cs="Arial"/>
          <w:sz w:val="22"/>
        </w:rPr>
        <w:t>_</w:t>
      </w:r>
      <w:r w:rsidR="00DE4764">
        <w:rPr>
          <w:rFonts w:ascii="Arial" w:hAnsi="Arial" w:cs="Arial"/>
          <w:sz w:val="22"/>
        </w:rPr>
        <w:t>________________</w:t>
      </w:r>
      <w:r w:rsidRPr="0027602F">
        <w:rPr>
          <w:rFonts w:ascii="Arial" w:hAnsi="Arial" w:cs="Arial"/>
          <w:sz w:val="22"/>
        </w:rPr>
        <w:t xml:space="preserve"> </w:t>
      </w: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jc w:val="both"/>
        <w:rPr>
          <w:rFonts w:ascii="Arial" w:hAnsi="Arial" w:cs="Arial"/>
          <w:sz w:val="22"/>
        </w:rPr>
      </w:pPr>
    </w:p>
    <w:p w:rsidR="00410096" w:rsidRPr="0027602F" w:rsidRDefault="00410096">
      <w:pPr>
        <w:rPr>
          <w:rFonts w:ascii="Arial" w:hAnsi="Arial" w:cs="Arial"/>
          <w:sz w:val="22"/>
        </w:rPr>
      </w:pPr>
    </w:p>
    <w:sectPr w:rsidR="00410096" w:rsidRPr="0027602F" w:rsidSect="00E7321A">
      <w:headerReference w:type="default" r:id="rId7"/>
      <w:pgSz w:w="11906" w:h="16838"/>
      <w:pgMar w:top="1418" w:right="1418" w:bottom="1418" w:left="1418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35" w:rsidRDefault="00F40C35" w:rsidP="00E7321A">
      <w:r>
        <w:separator/>
      </w:r>
    </w:p>
  </w:endnote>
  <w:endnote w:type="continuationSeparator" w:id="1">
    <w:p w:rsidR="00F40C35" w:rsidRDefault="00F40C35" w:rsidP="00E7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35" w:rsidRDefault="00F40C35" w:rsidP="00E7321A">
      <w:r>
        <w:separator/>
      </w:r>
    </w:p>
  </w:footnote>
  <w:footnote w:type="continuationSeparator" w:id="1">
    <w:p w:rsidR="00F40C35" w:rsidRDefault="00F40C35" w:rsidP="00E7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1A" w:rsidRDefault="00E7321A" w:rsidP="00E7321A">
    <w:pPr>
      <w:pStyle w:val="Zaglavlje"/>
      <w:jc w:val="center"/>
    </w:pPr>
    <w:r w:rsidRPr="00D41EFF">
      <w:rPr>
        <w:rFonts w:ascii="Arial" w:hAnsi="Arial" w:cs="Arial"/>
        <w:noProof/>
      </w:rPr>
      <w:drawing>
        <wp:inline distT="0" distB="0" distL="0" distR="0">
          <wp:extent cx="428625" cy="4381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21A" w:rsidRDefault="00E7321A" w:rsidP="00E7321A">
    <w:pPr>
      <w:pStyle w:val="Zaglavlje"/>
      <w:jc w:val="center"/>
      <w:rPr>
        <w:rFonts w:ascii="Arial" w:hAnsi="Arial" w:cs="Arial"/>
        <w:b/>
        <w:u w:val="single"/>
      </w:rPr>
    </w:pPr>
    <w:r w:rsidRPr="00D41EFF">
      <w:rPr>
        <w:rFonts w:ascii="Arial" w:hAnsi="Arial" w:cs="Arial"/>
        <w:b/>
        <w:u w:val="single"/>
      </w:rPr>
      <w:t>Program sufinancira Fond za zaštitu okoliša i energetsku učinkovitost</w:t>
    </w:r>
  </w:p>
  <w:p w:rsidR="009E5101" w:rsidRDefault="009E5101" w:rsidP="00E7321A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F34"/>
    <w:multiLevelType w:val="multilevel"/>
    <w:tmpl w:val="B0368018"/>
    <w:lvl w:ilvl="0">
      <w:start w:val="1"/>
      <w:numFmt w:val="decimal"/>
      <w:lvlText w:val="%1."/>
      <w:lvlJc w:val="left"/>
      <w:pPr>
        <w:ind w:left="721" w:firstLine="361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rFonts w:ascii="Arial" w:eastAsia="Arial" w:hAnsi="Arial" w:cs="Arial"/>
        <w:vertAlign w:val="baseline"/>
      </w:rPr>
    </w:lvl>
  </w:abstractNum>
  <w:abstractNum w:abstractNumId="1">
    <w:nsid w:val="0CB10F70"/>
    <w:multiLevelType w:val="hybridMultilevel"/>
    <w:tmpl w:val="FF0E412E"/>
    <w:lvl w:ilvl="0" w:tplc="04A69B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B1929"/>
    <w:multiLevelType w:val="hybridMultilevel"/>
    <w:tmpl w:val="BF50F14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53FA0"/>
    <w:multiLevelType w:val="hybridMultilevel"/>
    <w:tmpl w:val="2E606406"/>
    <w:lvl w:ilvl="0" w:tplc="C512E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46C64"/>
    <w:multiLevelType w:val="multilevel"/>
    <w:tmpl w:val="00E257E8"/>
    <w:lvl w:ilvl="0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firstLine="15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firstLine="16920"/>
      </w:pPr>
      <w:rPr>
        <w:rFonts w:ascii="Arial" w:eastAsia="Arial" w:hAnsi="Arial" w:cs="Arial"/>
        <w:vertAlign w:val="baseline"/>
      </w:rPr>
    </w:lvl>
  </w:abstractNum>
  <w:abstractNum w:abstractNumId="5">
    <w:nsid w:val="254F0BEA"/>
    <w:multiLevelType w:val="multilevel"/>
    <w:tmpl w:val="92BA5FC8"/>
    <w:lvl w:ilvl="0">
      <w:start w:val="1"/>
      <w:numFmt w:val="lowerLetter"/>
      <w:lvlText w:val="%1)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68" w:firstLine="2688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28" w:firstLine="4848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188" w:firstLine="7008"/>
      </w:pPr>
      <w:rPr>
        <w:rFonts w:ascii="Arial" w:eastAsia="Arial" w:hAnsi="Arial" w:cs="Arial"/>
        <w:vertAlign w:val="baseline"/>
      </w:rPr>
    </w:lvl>
  </w:abstractNum>
  <w:abstractNum w:abstractNumId="6">
    <w:nsid w:val="31635AD0"/>
    <w:multiLevelType w:val="hybridMultilevel"/>
    <w:tmpl w:val="72E8AA0C"/>
    <w:lvl w:ilvl="0" w:tplc="0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55863199"/>
    <w:multiLevelType w:val="multilevel"/>
    <w:tmpl w:val="0BE0164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8">
    <w:nsid w:val="55D06049"/>
    <w:multiLevelType w:val="multilevel"/>
    <w:tmpl w:val="278687E8"/>
    <w:lvl w:ilvl="0">
      <w:start w:val="1"/>
      <w:numFmt w:val="bullet"/>
      <w:lvlText w:val="●"/>
      <w:lvlJc w:val="left"/>
      <w:pPr>
        <w:ind w:left="1366" w:firstLine="1006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2244" w:firstLine="1726"/>
      </w:pPr>
      <w:rPr>
        <w:rFonts w:ascii="Arial" w:eastAsia="Times New Roman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06" w:firstLine="244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26" w:firstLine="316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46" w:firstLine="388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66" w:firstLine="460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86" w:firstLine="532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06" w:firstLine="604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26" w:firstLine="6766"/>
      </w:pPr>
      <w:rPr>
        <w:rFonts w:ascii="Arial" w:eastAsia="Arial" w:hAnsi="Arial" w:cs="Arial"/>
        <w:vertAlign w:val="baseline"/>
      </w:rPr>
    </w:lvl>
  </w:abstractNum>
  <w:abstractNum w:abstractNumId="9">
    <w:nsid w:val="67C53502"/>
    <w:multiLevelType w:val="multilevel"/>
    <w:tmpl w:val="B9FEC2B2"/>
    <w:lvl w:ilvl="0">
      <w:start w:val="1"/>
      <w:numFmt w:val="bullet"/>
      <w:lvlText w:val="●"/>
      <w:lvlJc w:val="left"/>
      <w:pPr>
        <w:ind w:left="1365" w:firstLine="10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85" w:firstLine="172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05" w:firstLine="24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25" w:firstLine="31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45" w:firstLine="38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65" w:firstLine="46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85" w:firstLine="53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05" w:firstLine="60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25" w:firstLine="6765"/>
      </w:pPr>
      <w:rPr>
        <w:rFonts w:ascii="Arial" w:eastAsia="Arial" w:hAnsi="Arial" w:cs="Arial"/>
        <w:vertAlign w:val="baseline"/>
      </w:rPr>
    </w:lvl>
  </w:abstractNum>
  <w:abstractNum w:abstractNumId="10">
    <w:nsid w:val="7F3726CE"/>
    <w:multiLevelType w:val="hybridMultilevel"/>
    <w:tmpl w:val="F33865F4"/>
    <w:lvl w:ilvl="0" w:tplc="041A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096"/>
    <w:rsid w:val="000D4A3D"/>
    <w:rsid w:val="001279DC"/>
    <w:rsid w:val="00132093"/>
    <w:rsid w:val="001655F3"/>
    <w:rsid w:val="0027602F"/>
    <w:rsid w:val="002D0DC4"/>
    <w:rsid w:val="002F34FA"/>
    <w:rsid w:val="00316BDC"/>
    <w:rsid w:val="003250EB"/>
    <w:rsid w:val="00410096"/>
    <w:rsid w:val="0046782F"/>
    <w:rsid w:val="00515BFB"/>
    <w:rsid w:val="00517254"/>
    <w:rsid w:val="00521B0B"/>
    <w:rsid w:val="005F1CAE"/>
    <w:rsid w:val="005F6426"/>
    <w:rsid w:val="006318DF"/>
    <w:rsid w:val="00637BCC"/>
    <w:rsid w:val="006840E0"/>
    <w:rsid w:val="007118AF"/>
    <w:rsid w:val="00746C49"/>
    <w:rsid w:val="009E2BDA"/>
    <w:rsid w:val="009E5101"/>
    <w:rsid w:val="009F7FA2"/>
    <w:rsid w:val="00A45D13"/>
    <w:rsid w:val="00A922DB"/>
    <w:rsid w:val="00B11363"/>
    <w:rsid w:val="00DB120B"/>
    <w:rsid w:val="00DE4764"/>
    <w:rsid w:val="00E7321A"/>
    <w:rsid w:val="00F112D2"/>
    <w:rsid w:val="00F3506C"/>
    <w:rsid w:val="00F40C35"/>
    <w:rsid w:val="00F46427"/>
    <w:rsid w:val="00FC4471"/>
    <w:rsid w:val="00FE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rsid w:val="00F112D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F112D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F112D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F112D2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F112D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F112D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F112D2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F112D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12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12D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F112D2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5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5F3"/>
    <w:rPr>
      <w:rFonts w:ascii="Tahoma" w:eastAsia="Times New Roman" w:hAnsi="Tahoma" w:cs="Tahoma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7118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32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321A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E732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321A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5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5F3"/>
    <w:rPr>
      <w:rFonts w:ascii="Tahoma" w:eastAsia="Times New Roman" w:hAnsi="Tahoma" w:cs="Tahoma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7118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32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321A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E732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321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Prilog_2_Ugovor_EnU.docx</vt:lpstr>
    </vt:vector>
  </TitlesOfParts>
  <Company>Hewlett-Packard Company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Prilog_2_Ugovor_EnU.docx</dc:title>
  <dc:creator>Goran Bobinac</dc:creator>
  <cp:lastModifiedBy>Općina Sračinec</cp:lastModifiedBy>
  <cp:revision>2</cp:revision>
  <dcterms:created xsi:type="dcterms:W3CDTF">2014-07-29T07:45:00Z</dcterms:created>
  <dcterms:modified xsi:type="dcterms:W3CDTF">2014-07-29T07:45:00Z</dcterms:modified>
</cp:coreProperties>
</file>