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40b7ed1dbf44f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31448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SRAČINEC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2.520.989,03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2.503.926,99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1.061.031,22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1.539.874,27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1.459.957,81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964.052,72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409.687,19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1.180.821,13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315.552,19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1.132.831,13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158.318,82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158.318,82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158.318,82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158.318,82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327.097,23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Prihodi poslovanja (6) u razdoblju siječanj - rujan 2025. godine ostvareni su u iznosu 2.503.926,99 €. Najznačajnije povećanje prihoda poslovanja ostvareno je od poreza na dohodak od nesamostalnog rada, povremenih poreza na imovinu te kapitalnih donacija od pravnih osoba. Najznačajnije smanjenje prihoda poslovanja bilježi se kod tekućih i kapitalnih pomoći proračunu i izvanproračunskim korisnicima iz drugih proračuna.
Rashodi poslovanja (3) u razdoblju siječanj - rujan 2025. godine ostvareni su u iznosu 1.539.874,27 €. Najznačajnije povećanje rashoda poslovanja ostvareno je od kapitalnih pomoći proračunskim korisnicima drugih proračuna te naknada građanima i kućanstvima u naravi. Najznačajnije smanjenje rashoda poslovanja bilježi se kod zdravstvenih i veterinarskih usluga te kapitalnih pomoći kreditnim i ostalim financijskim institucijama te trgovačkim društvima u javnom sektoru.
Prihodi od prodaje nefinancijske imovine (7) u razdoblju siječanj - rujan 2025. godine ostvareni su u iznosu 47.990,00 €. Na smanjenje spomenutih prihoda utjecala je manja prodaja građevinskih zemljišta na području Općine Sračinec.
Rashodi za nabavu nefinancijske imovine (4) u razdoblju siječanj - rujan 2025. godine ostvareni su u iznosu 1.180.821,13 €. Na povećanje spomenutih rashoda najveći utjecaj imaju ulaganja u poslovne objekte (dogradnja dječjeg vrtića u Sračincu).
U navedenom razdoblju nema ostvarenih primitaka od financijske imovine i zaduživanja (8) dok su izdaci za financijsku imovinu i otplate zajmova (5) ostvareni u iznosu od 158.318,82 €. Izdaci se odnose na kredite prema HBOR-u za dogradnju dječjeg vrtića u Sračincu te modernizaciju i rekonstrukciju nerazvrstanih cesta na području Općine Sračinec.
U razdoblju od 01. siječnja do 30. rujna 2025. ostvaren je višak prihoda poslovanja (X001) u iznosu od 964.052,72 €, manjak prihoda od nefinancijske imovine (Y002) u iznosu od 1.132.831,13 €, manjak od financijske imovine i zaduživanja (Y003) u iznosu od 158.318,82 €, slijedom čega je na kraju izvještajnog razdoblja ostvaren ukupan manjak prihoda i primitaka (Y005) u iznosu od 327.097,23 €.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w:t>
            </w:r>
          </w:p>
        </w:tc>
      </w:tr>
    </w:tbl>
    <w:p>
      <w:pPr>
        <w:spacing w:before="0" w:after="0"/>
      </w:pPr>
    </w:p>
    <w:p>
      <w:pPr>
        <w:jc w:val="both"/>
        <w:pStyle w:val="Normal"/>
        <w:spacing w:line="240" w:lineRule="auto"/>
      </w:pPr>
      <w:r>
        <w:rPr>
          <w:sz w:val="24"/>
          <w:rFonts w:ascii="Times New Roman" w:hAnsi="Times New Roman"/>
        </w:rPr>
        <w:t>Povremeni porezi na imovinu ostvareni su u iznosu od 90.819,36 € što predstavlja povećanje u odnosu na isto razdoblje prethodne godine za 159,5%,  a razlog povećanja je u povećanju prihoda od poreza na promet nekretnina koji ima najveći udio u porezima na imovinu.</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555.836,74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95.203,75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w:t>
            </w:r>
          </w:p>
        </w:tc>
      </w:tr>
    </w:tbl>
    <w:p>
      <w:pPr>
        <w:spacing w:before="0" w:after="0"/>
      </w:pPr>
    </w:p>
    <w:p>
      <w:pPr>
        <w:jc w:val="both"/>
        <w:pStyle w:val="Normal"/>
        <w:spacing w:line="240" w:lineRule="auto"/>
      </w:pPr>
      <w:r>
        <w:rPr>
          <w:sz w:val="24"/>
          <w:rFonts w:ascii="Times New Roman" w:hAnsi="Times New Roman"/>
        </w:rPr>
        <w:t>U ovom izvještajnom razdoblju ove tekuće pomoći su manje za 82,9% iz razloga jer smo u 2024. godini na ovaj konto osim fiskalne održivosti dječjih vrtića knjižili i fiskalno izravnanje, dok u ovoj godini fiskalno izravnanje knjižimo na konto 6353.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503.077,14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Prošle godine nemamo ostvarenje jer smo ove pomoći knjižili na konto 6331 tekuće pomoći proračunu i izvanproračunskim korisnicima iz drugih proračuna.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533,4</w:t>
            </w:r>
          </w:p>
        </w:tc>
      </w:tr>
    </w:tbl>
    <w:p>
      <w:pPr>
        <w:spacing w:before="0" w:after="0"/>
      </w:pPr>
    </w:p>
    <w:p>
      <w:pPr>
        <w:jc w:val="both"/>
        <w:pStyle w:val="Normal"/>
        <w:spacing w:line="240" w:lineRule="auto"/>
      </w:pPr>
      <w:r>
        <w:rPr>
          <w:sz w:val="24"/>
          <w:rFonts w:ascii="Times New Roman" w:hAnsi="Times New Roman"/>
        </w:rPr>
        <w:t>U 2025. godini naknade za koncesije su veće za 433,4%, a one ovise o uplatama naknada za eksploataciju mineralnih sirovina.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54.824,77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w:t>
            </w:r>
          </w:p>
        </w:tc>
      </w:tr>
    </w:tbl>
    <w:p>
      <w:pPr>
        <w:spacing w:before="0" w:after="0"/>
      </w:pPr>
    </w:p>
    <w:p>
      <w:pPr>
        <w:jc w:val="both"/>
        <w:pStyle w:val="Normal"/>
        <w:spacing w:line="240" w:lineRule="auto"/>
      </w:pPr>
      <w:r>
        <w:rPr>
          <w:sz w:val="24"/>
          <w:rFonts w:ascii="Times New Roman" w:hAnsi="Times New Roman"/>
        </w:rPr>
        <w:t>Komunalni doprinosi su u ovom izvještajnom razdoblju manji za 86,0% te oni ovise o izdanim građevinskim dozvolama tokom godine.</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Kapitalne donacije od tvrtke Varkom d.o.o. Varaždin putem Ugovora o cesiji za izgradnju odvojka ulice Mate Melinčeka u Sračincu u iznosu od 62.000,00 eura, dok prošle godine nismo imali takvih donacija.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w:t>
            </w:r>
          </w:p>
        </w:tc>
      </w:tr>
    </w:tbl>
    <w:p>
      <w:pPr>
        <w:spacing w:before="0" w:after="0"/>
      </w:pPr>
    </w:p>
    <w:p>
      <w:pPr>
        <w:jc w:val="both"/>
        <w:pStyle w:val="Normal"/>
        <w:spacing w:line="240" w:lineRule="auto"/>
      </w:pPr>
      <w:r>
        <w:rPr>
          <w:sz w:val="24"/>
          <w:rFonts w:ascii="Times New Roman" w:hAnsi="Times New Roman"/>
        </w:rPr>
        <w:t>Sitni inventar je u ovom izvještajnom razdoblju veći za 861,4% iz razloga jer je kupljeni sitni inventar za opremanje najnovije dograđenog dijela dječjeg vrtića.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674,7</w:t>
            </w:r>
          </w:p>
        </w:tc>
      </w:tr>
    </w:tbl>
    <w:p>
      <w:pPr>
        <w:spacing w:before="0" w:after="0"/>
      </w:pPr>
    </w:p>
    <w:p>
      <w:pPr>
        <w:jc w:val="both"/>
        <w:pStyle w:val="Normal"/>
        <w:spacing w:line="240" w:lineRule="auto"/>
      </w:pPr>
      <w:r>
        <w:rPr>
          <w:sz w:val="24"/>
          <w:rFonts w:ascii="Times New Roman" w:hAnsi="Times New Roman"/>
        </w:rPr>
        <w:t>Ove naknade su veće za 574,7% u odnosu na prošlu godinu iz razloga jer smo ovdje knjižili naknade za izborna povjerenstva, biračke odbore i stručne službe za lokalne izbore koji su održani ove godine.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Ove godine u ovom izvještajnom razdoblju napravili smo preknjiženje državnih troškova naplate 1% i 5% prihoda na konto 3434 (ispravan konto), dok smo ranije naplatu 1% prihoda knjižili na konto 3239 ostale nespomenute usluge, a naplatu 5% prihoda na konto 3431 usluge platnog prometa.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Ove godine smo isplatili kapitalnu pomoć OŠ Sračinec za izvedbu tartan staze i asfaltiranje odbojkaškog igrališta u krugu škole u iznosu od 72.809,00 eura.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20.890,50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Kapitalne donacije neprofitnim organizacijama su ove godine ostvarene u iznosu od 20.890,50 eura i one se odnose na donacije nogometnim klubovima za nabavku strojeva za održavanje nogometnih terena.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604.561,41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817.829,63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w:t>
            </w:r>
          </w:p>
        </w:tc>
      </w:tr>
    </w:tbl>
    <w:p>
      <w:pPr>
        <w:spacing w:before="0" w:after="0"/>
      </w:pPr>
    </w:p>
    <w:p>
      <w:pPr>
        <w:jc w:val="both"/>
        <w:pStyle w:val="Normal"/>
        <w:spacing w:line="240" w:lineRule="auto"/>
      </w:pPr>
      <w:r>
        <w:rPr>
          <w:sz w:val="24"/>
          <w:rFonts w:ascii="Times New Roman" w:hAnsi="Times New Roman"/>
        </w:rPr>
        <w:t>U travnju 2025. godine donesena je Odluka o raspodjeli rezultata poslovanja Općine Sračinec za 2024. godinu prema kojoj je ukupni ostvareni višak prihoda poslovanja u iznosu od 817.829,63 eura.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w:t>
            </w:r>
          </w:p>
        </w:tc>
      </w:tr>
    </w:tbl>
    <w:p>
      <w:pPr>
        <w:spacing w:before="0" w:after="0"/>
      </w:pPr>
    </w:p>
    <w:p>
      <w:pPr>
        <w:jc w:val="both"/>
        <w:pStyle w:val="Normal"/>
        <w:spacing w:line="240" w:lineRule="auto"/>
      </w:pPr>
      <w:r>
        <w:rPr>
          <w:sz w:val="24"/>
          <w:rFonts w:ascii="Times New Roman" w:hAnsi="Times New Roman"/>
        </w:rPr>
        <w:t>Prihodi od prodaje nefinancijske imovine (zemljište) ove godine u trećem kvartalu imaju ostvarenje od 47.990,00 €, dok je u istom razdoblju prethodne godine ostvarenje bilo 94.135,00 €. Ovi prihodi odnose se na prodano građevinskog zemljište na području Općine Sračinec.</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229.188,22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1.086.760,15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474,2</w:t>
            </w:r>
          </w:p>
        </w:tc>
      </w:tr>
    </w:tbl>
    <w:p>
      <w:pPr>
        <w:spacing w:before="0" w:after="0"/>
      </w:pPr>
    </w:p>
    <w:p>
      <w:pPr>
        <w:jc w:val="both"/>
        <w:pStyle w:val="Normal"/>
        <w:spacing w:line="240" w:lineRule="auto"/>
      </w:pPr>
      <w:r>
        <w:rPr>
          <w:sz w:val="24"/>
          <w:rFonts w:ascii="Times New Roman" w:hAnsi="Times New Roman"/>
        </w:rPr>
        <w:t>Građevinski objekti (421) izvršeni su u iznosu od 1.086.760,15 €, a navedeni rashodi odnose na poslovne objekte 4212 (dogradnja dječjeg vrtića „Bambi“ u iznosu od 530.836,01 € i izrada idejnog rješenja za zatvorene bazene u iznosu od 32.500,00 €), ceste 4213 (rekonstrukcija Ulice Mate Melinčeka - odvojak u Sračincu u iznosu od 272.543,87 €), ostale građevinske objekte 4214 (projektna dokumentacija za zamjenu dječjih igrala u parku „Črlenka“, projektna dokumentacija za postavljanje zida za urne na groblju Sračinec, usluga pripreme dokumentacije o nabavi za izvođenje radova u parku "Črlenka", projektna dokumentacija za pomoćno igralište NK Podravac i izvođenje radova na rekonstrukciji dječjeg igrališta "Črlenka)  u iznosu od 250.880,27 €).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89.185,98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810,5</w:t>
            </w:r>
          </w:p>
        </w:tc>
      </w:tr>
    </w:tbl>
    <w:p>
      <w:pPr>
        <w:spacing w:before="0" w:after="0"/>
      </w:pPr>
    </w:p>
    <w:p>
      <w:pPr>
        <w:jc w:val="both"/>
        <w:pStyle w:val="Normal"/>
        <w:spacing w:line="240" w:lineRule="auto"/>
      </w:pPr>
      <w:r>
        <w:rPr>
          <w:sz w:val="24"/>
          <w:rFonts w:ascii="Times New Roman" w:hAnsi="Times New Roman"/>
        </w:rPr>
        <w:t>Postrojenja i oprema (422) izvršeni su u iznosu od 67.543,98 €, a navedeni rashodi odnose se na uredsku opremu i namještaj 4221 (računala i računalna oprema za dječji vrtić "Bambi" u iznosu od 2.876,00 € i uredski namještaj za dječji vrtić "Bambi" u iznosu od 42.106,09 €), na komunikacijsku opremu 4222 (tv prijemnici i kamera za dječji vrtić "Bambi" u iznosu od 2.214,75 €) i na nabavu uređaja, strojeva i opreme ostale namjene 4227 (kućište i radar za mjerenje brzine u prometu kod OŠ Sračinec, oprema ostale namjene za dječji vrtić "Bambi", kukice te podizač mreže za golove na terenu NK Podravac te izrada i dostava štandova, klupica i stolova za promociju Općine Sračinec u iznosu od 41.989,14 €).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1959,0</w:t>
            </w:r>
          </w:p>
        </w:tc>
      </w:tr>
    </w:tbl>
    <w:p>
      <w:pPr>
        <w:spacing w:before="0" w:after="0"/>
      </w:pPr>
    </w:p>
    <w:p>
      <w:pPr>
        <w:jc w:val="both"/>
        <w:pStyle w:val="Normal"/>
        <w:spacing w:line="240" w:lineRule="auto"/>
      </w:pPr>
      <w:r>
        <w:rPr>
          <w:sz w:val="24"/>
          <w:rFonts w:ascii="Times New Roman" w:hAnsi="Times New Roman"/>
        </w:rPr>
        <w:t>Ove godine na kontu 4263 imamo ostvarenje u iznosu od 4.875,00 €, a odnosi se na 1. privremenu situaciju - usluga izrade izmjena i dopuna prostornog plana Općine Sračinec.</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1.590.648,21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490.732,40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pPr>
        <w:jc w:val="both"/>
        <w:pStyle w:val="Normal"/>
        <w:spacing w:line="240" w:lineRule="auto"/>
      </w:pPr>
      <w:r>
        <w:rPr>
          <w:sz w:val="24"/>
          <w:rFonts w:ascii="Times New Roman" w:hAnsi="Times New Roman"/>
        </w:rPr>
        <w:t>U izvještajnom razdoblju ostvaren je manjak prihoda i primitaka (Y005) u iznosu od 327.097,23 € koji zbrojen s viškom prihoda i primitaka iz prijašnjeg razdoblja (9221-9222) u iznosu od 817.829,63 € čini ukupno raspoloživ višak prihoda i primitaka u sljedećem razdoblju (X006) u iznosu od 490.732,40 €.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1.611.624,33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529.058,80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w:t>
            </w:r>
          </w:p>
        </w:tc>
      </w:tr>
    </w:tbl>
    <w:p>
      <w:pPr>
        <w:spacing w:before="0" w:after="0"/>
      </w:pPr>
    </w:p>
    <w:p>
      <w:pPr>
        <w:jc w:val="both"/>
        <w:pStyle w:val="Normal"/>
        <w:spacing w:line="240" w:lineRule="auto"/>
      </w:pPr>
      <w:r>
        <w:rPr>
          <w:sz w:val="24"/>
          <w:rFonts w:ascii="Times New Roman" w:hAnsi="Times New Roman"/>
        </w:rPr>
        <w:t>Na kraju izvještajnog razdoblja ukupno stanje na računima i u blagajnama iznosi 529.058,80 € i sastoji se od stanja na slijedećim računima: Zagrebačka banka d.d. Varaždin = 528.470,58 € i novac u blagajni = 588,22 €.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(V007) iznosi 6.347,15 € i odnosi se na slijedeće obveze: (27) obveze za predujmove, depozite, jamčevne pologe i tuđe prihode u iznosu od 6.347,15 € - navedene obveze odnose se na uplaćene predujmove komunalne naknade, naknade za uređenje voda i grobne naknade, na rasknjiženje uplaćenih predujmova prema izvješću Porezne uprave za uplaćene poreze na potrošnju, tvrtku i promet nekretnina (271) u iznosu od 5.708,71 € i na naplaćene prihode za naknadu za uređenje voda za mjesec rujan 2025. godine (273) u iznosu od 638,44 € (pražnjenje sredstava Hrvatskim vodama vrši se odmah prvi radni dan po završetku mjeseca).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2.399.515,50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nedospjelih obveza na kraju izvještajnog razdoblja (V009) iznosi 2.399.515,50 € i odnosi se na slijedeće obveze: (23) obveze za rashode poslovanja u iznosu od 43.459,56 € (obveza za plaću zaposlenicima za mjesec rujan 2025., obveze za materijalne rashode kojima je valuta u listopadu 2025. i obveze za naknade građanima i kućanstvima za mjesec rujan 2025.), (24) obveze za nabavu nefinancijske imovine u iznosu od 750,00 € (ulazni račun s valutom u listopadu 2025. godine), (26) obveze za financijsku imovinu u iznosu od 2.355.305,94 € (obveze za dugoročni kredit HBOR-a za izgradnju dječjeg vrtića u Sračincu u iznosu od 230.364,09 € - konto 262421, obveze za dugoročni kredit HBOR-a za modernizaciju i rekonstrukciju nerazvrstanih cesta na području Općine Sračinec u iznosu od 2.123.564,89 € - konto 26222 te obveze za zajmove od državnog proračuna za povrat poreza u iznosu od 1.376,96 € - konto 26711).</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5cb0dc275a54ca3" /></Relationships>
</file>